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6C" w:rsidRDefault="00CC0D6C" w:rsidP="00CC0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Thesis Prospectus</w:t>
      </w:r>
    </w:p>
    <w:p w:rsidR="00CC0D6C" w:rsidRDefault="00CC0D6C" w:rsidP="00CC0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CC0D6C" w:rsidRDefault="00CC0D6C" w:rsidP="00CC0D6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This thesis will be a poetry manuscript that, through its various po</w:t>
      </w:r>
      <w:r>
        <w:rPr>
          <w:rFonts w:ascii="TimesNewRomanPSMT" w:hAnsi="TimesNewRomanPSMT" w:cs="TimesNewRomanPSMT"/>
          <w:sz w:val="24"/>
          <w:szCs w:val="24"/>
        </w:rPr>
        <w:t xml:space="preserve">ems, will establish its footing </w:t>
      </w:r>
      <w:r>
        <w:rPr>
          <w:rFonts w:ascii="TimesNewRomanPSMT" w:hAnsi="TimesNewRomanPSMT" w:cs="TimesNewRomanPSMT"/>
          <w:sz w:val="24"/>
          <w:szCs w:val="24"/>
        </w:rPr>
        <w:t>in multiple poetic traditions, particularly blank verse and free verse. Reflecting the influence of</w:t>
      </w:r>
    </w:p>
    <w:p w:rsidR="00725FFE" w:rsidRDefault="00CC0D6C" w:rsidP="00CC0D6C">
      <w:pPr>
        <w:autoSpaceDE w:val="0"/>
        <w:autoSpaceDN w:val="0"/>
        <w:adjustRightInd w:val="0"/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>Wallace Stevens, Kenneth Koch, Frank O’Hara, Pablo Neru</w:t>
      </w:r>
      <w:r>
        <w:rPr>
          <w:rFonts w:ascii="TimesNewRomanPSMT" w:hAnsi="TimesNewRomanPSMT" w:cs="TimesNewRomanPSMT"/>
          <w:sz w:val="24"/>
          <w:szCs w:val="24"/>
        </w:rPr>
        <w:t xml:space="preserve">da, James Tate, and Dean Young, </w:t>
      </w:r>
      <w:r>
        <w:rPr>
          <w:rFonts w:ascii="TimesNewRomanPSMT" w:hAnsi="TimesNewRomanPSMT" w:cs="TimesNewRomanPSMT"/>
          <w:sz w:val="24"/>
          <w:szCs w:val="24"/>
        </w:rPr>
        <w:t>this manuscript will utilize different traditions of verse to speak, with vary</w:t>
      </w:r>
      <w:r>
        <w:rPr>
          <w:rFonts w:ascii="TimesNewRomanPSMT" w:hAnsi="TimesNewRomanPSMT" w:cs="TimesNewRomanPSMT"/>
          <w:sz w:val="24"/>
          <w:szCs w:val="24"/>
        </w:rPr>
        <w:t xml:space="preserve">ing degrees of lightheartedness </w:t>
      </w:r>
      <w:r>
        <w:rPr>
          <w:rFonts w:ascii="TimesNewRomanPSMT" w:hAnsi="TimesNewRomanPSMT" w:cs="TimesNewRomanPSMT"/>
          <w:sz w:val="24"/>
          <w:szCs w:val="24"/>
        </w:rPr>
        <w:t>and graveness, to issues of separation, isolation, and alienation on both the social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personal levels while also speaking to the prospect </w:t>
      </w:r>
      <w:r>
        <w:rPr>
          <w:rFonts w:ascii="TimesNewRomanPSMT" w:hAnsi="TimesNewRomanPSMT" w:cs="TimesNewRomanPSMT"/>
          <w:sz w:val="24"/>
          <w:szCs w:val="24"/>
        </w:rPr>
        <w:t xml:space="preserve">and attainment of pleasure.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The </w:t>
      </w:r>
      <w:r>
        <w:rPr>
          <w:rFonts w:ascii="TimesNewRomanPSMT" w:hAnsi="TimesNewRomanPSMT" w:cs="TimesNewRomanPSMT"/>
          <w:sz w:val="24"/>
          <w:szCs w:val="24"/>
        </w:rPr>
        <w:t>poems of this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manuscript, while willing to move somewha</w:t>
      </w:r>
      <w:r>
        <w:rPr>
          <w:rFonts w:ascii="TimesNewRomanPSMT" w:hAnsi="TimesNewRomanPSMT" w:cs="TimesNewRomanPSMT"/>
          <w:sz w:val="24"/>
          <w:szCs w:val="24"/>
        </w:rPr>
        <w:t xml:space="preserve">t off-topic for the purposes of </w:t>
      </w:r>
      <w:r>
        <w:rPr>
          <w:rFonts w:ascii="TimesNewRomanPSMT" w:hAnsi="TimesNewRomanPSMT" w:cs="TimesNewRomanPSMT"/>
          <w:sz w:val="24"/>
          <w:szCs w:val="24"/>
        </w:rPr>
        <w:t>imaginative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expression, will likely not completely abandon the topic at hand, and if the overall focus of the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poems shift, </w:t>
      </w: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>there will likely be signals of that shift.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In this regard, this manuscript’s poems,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instead of completely embracing the tendency of poetic fragmentation discussed by Dean Young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in </w:t>
      </w:r>
      <w:r>
        <w:rPr>
          <w:rFonts w:ascii="TimesNewRomanPSMT,Italic" w:hAnsi="TimesNewRomanPSMT,Italic" w:cs="TimesNewRomanPSMT,Italic"/>
          <w:i/>
          <w:iCs/>
          <w:sz w:val="24"/>
          <w:szCs w:val="24"/>
        </w:rPr>
        <w:t xml:space="preserve">The Art of Recklessness </w:t>
      </w:r>
      <w:r>
        <w:rPr>
          <w:rFonts w:ascii="TimesNewRomanPSMT" w:hAnsi="TimesNewRomanPSMT" w:cs="TimesNewRomanPSMT"/>
          <w:sz w:val="24"/>
          <w:szCs w:val="24"/>
        </w:rPr>
        <w:t>and by Tony Hoagland in his essay “Fragment, Juxtaposition, and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Completeness” from </w:t>
      </w:r>
      <w:r>
        <w:rPr>
          <w:rFonts w:ascii="TimesNewRomanPSMT,Italic" w:hAnsi="TimesNewRomanPSMT,Italic" w:cs="TimesNewRomanPSMT,Italic"/>
          <w:i/>
          <w:iCs/>
          <w:sz w:val="24"/>
          <w:szCs w:val="24"/>
        </w:rPr>
        <w:t xml:space="preserve">Real </w:t>
      </w:r>
      <w:proofErr w:type="spellStart"/>
      <w:r>
        <w:rPr>
          <w:rFonts w:ascii="TimesNewRomanPSMT,Italic" w:hAnsi="TimesNewRomanPSMT,Italic" w:cs="TimesNewRomanPSMT,Italic"/>
          <w:i/>
          <w:iCs/>
          <w:sz w:val="24"/>
          <w:szCs w:val="24"/>
        </w:rPr>
        <w:t>Sofistikashun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will tend more toward a balance between, on one side,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the sense of order discussed by Hoagland in “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Thingitude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and Causality” and “Fear of Narrative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and the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Skittery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Poem of Our Moment” and, on the other, pursuits of the type of creativity termed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“insubordination” by Hoagland in his essay “On Disproportion.” The poems of this manuscript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will thus try to follow the advice of Young, who, addressing in </w:t>
      </w:r>
      <w:r>
        <w:rPr>
          <w:rFonts w:ascii="TimesNewRomanPSMT,Italic" w:hAnsi="TimesNewRomanPSMT,Italic" w:cs="TimesNewRomanPSMT,Italic"/>
          <w:i/>
          <w:iCs/>
          <w:sz w:val="24"/>
          <w:szCs w:val="24"/>
        </w:rPr>
        <w:t xml:space="preserve">The Art of Recklessness </w:t>
      </w:r>
      <w:r>
        <w:rPr>
          <w:rFonts w:ascii="TimesNewRomanPSMT" w:hAnsi="TimesNewRomanPSMT" w:cs="TimesNewRomanPSMT"/>
          <w:sz w:val="24"/>
          <w:szCs w:val="24"/>
        </w:rPr>
        <w:t>the issue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of measuring the right extent of poetic “outburst,” metaphorically writes, “Don’t build a reactor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without a radiant core but don’t produce a radiant core without providing containment.”</w:t>
      </w:r>
    </w:p>
    <w:sectPr w:rsidR="00725F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D6C"/>
    <w:rsid w:val="00493194"/>
    <w:rsid w:val="00A03CE3"/>
    <w:rsid w:val="00CC0D6C"/>
    <w:rsid w:val="00C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Lillvis, Kristen</dc:creator>
  <cp:lastModifiedBy>Lillvis, Kristen</cp:lastModifiedBy>
  <cp:revision>1</cp:revision>
  <dcterms:created xsi:type="dcterms:W3CDTF">2015-08-26T14:43:00Z</dcterms:created>
  <dcterms:modified xsi:type="dcterms:W3CDTF">2015-08-26T14:44:00Z</dcterms:modified>
</cp:coreProperties>
</file>