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79" w:rsidRPr="00836AC9" w:rsidRDefault="00662A79" w:rsidP="0072101C">
      <w:pPr>
        <w:spacing w:line="240" w:lineRule="auto"/>
        <w:jc w:val="center"/>
        <w:rPr>
          <w:rFonts w:ascii="Arial" w:hAnsi="Arial" w:cs="Arial"/>
          <w:b/>
          <w:sz w:val="28"/>
          <w:szCs w:val="28"/>
        </w:rPr>
      </w:pPr>
      <w:bookmarkStart w:id="0" w:name="_GoBack"/>
      <w:bookmarkEnd w:id="0"/>
      <w:r w:rsidRPr="00836AC9">
        <w:rPr>
          <w:rFonts w:ascii="Arial" w:hAnsi="Arial" w:cs="Arial"/>
          <w:b/>
          <w:sz w:val="28"/>
          <w:szCs w:val="28"/>
        </w:rPr>
        <w:t>ADMINISTRATIVE PROCEDURE</w:t>
      </w:r>
    </w:p>
    <w:p w:rsidR="00662A79" w:rsidRDefault="00662A79" w:rsidP="0072101C">
      <w:pPr>
        <w:spacing w:line="240" w:lineRule="auto"/>
        <w:jc w:val="center"/>
        <w:rPr>
          <w:rFonts w:ascii="Arial" w:hAnsi="Arial" w:cs="Arial"/>
          <w:b/>
          <w:caps/>
          <w:sz w:val="28"/>
          <w:szCs w:val="28"/>
        </w:rPr>
      </w:pPr>
      <w:r>
        <w:rPr>
          <w:rFonts w:ascii="Arial" w:hAnsi="Arial" w:cs="Arial"/>
          <w:b/>
          <w:caps/>
          <w:sz w:val="28"/>
          <w:szCs w:val="28"/>
        </w:rPr>
        <w:t>Admin-2</w:t>
      </w:r>
    </w:p>
    <w:p w:rsidR="00662A79" w:rsidRPr="00662A79" w:rsidRDefault="00C64CBF" w:rsidP="0072101C">
      <w:pPr>
        <w:spacing w:line="240" w:lineRule="auto"/>
        <w:jc w:val="center"/>
        <w:rPr>
          <w:rFonts w:ascii="Arial" w:hAnsi="Arial" w:cs="Arial"/>
          <w:b/>
          <w:sz w:val="28"/>
          <w:szCs w:val="28"/>
        </w:rPr>
      </w:pPr>
      <w:r w:rsidRPr="00662A79">
        <w:rPr>
          <w:rFonts w:ascii="Arial" w:hAnsi="Arial" w:cs="Arial"/>
          <w:b/>
          <w:sz w:val="28"/>
          <w:szCs w:val="28"/>
        </w:rPr>
        <w:t>Alteration</w:t>
      </w:r>
      <w:r w:rsidR="00AC7237">
        <w:rPr>
          <w:rFonts w:ascii="Arial" w:hAnsi="Arial" w:cs="Arial"/>
          <w:b/>
          <w:sz w:val="28"/>
          <w:szCs w:val="28"/>
        </w:rPr>
        <w:t>s to</w:t>
      </w:r>
      <w:r w:rsidRPr="00662A79">
        <w:rPr>
          <w:rFonts w:ascii="Arial" w:hAnsi="Arial" w:cs="Arial"/>
          <w:b/>
          <w:sz w:val="28"/>
          <w:szCs w:val="28"/>
        </w:rPr>
        <w:t xml:space="preserve"> University Facilities</w:t>
      </w:r>
    </w:p>
    <w:tbl>
      <w:tblPr>
        <w:tblW w:w="9740" w:type="dxa"/>
        <w:tblInd w:w="93" w:type="dxa"/>
        <w:tblLook w:val="04A0" w:firstRow="1" w:lastRow="0" w:firstColumn="1" w:lastColumn="0" w:noHBand="0" w:noVBand="1"/>
      </w:tblPr>
      <w:tblGrid>
        <w:gridCol w:w="1920"/>
        <w:gridCol w:w="5835"/>
        <w:gridCol w:w="1985"/>
      </w:tblGrid>
      <w:tr w:rsidR="00662A79" w:rsidRPr="00107536" w:rsidTr="002A5AB3">
        <w:trPr>
          <w:trHeight w:val="255"/>
        </w:trPr>
        <w:tc>
          <w:tcPr>
            <w:tcW w:w="1920" w:type="dxa"/>
            <w:tcBorders>
              <w:top w:val="single" w:sz="8" w:space="0" w:color="auto"/>
              <w:left w:val="single" w:sz="8" w:space="0" w:color="auto"/>
              <w:bottom w:val="nil"/>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Number:</w:t>
            </w:r>
          </w:p>
        </w:tc>
        <w:tc>
          <w:tcPr>
            <w:tcW w:w="7820" w:type="dxa"/>
            <w:gridSpan w:val="2"/>
            <w:tcBorders>
              <w:top w:val="single" w:sz="8" w:space="0" w:color="auto"/>
              <w:left w:val="nil"/>
              <w:bottom w:val="nil"/>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Name:</w:t>
            </w:r>
          </w:p>
        </w:tc>
      </w:tr>
      <w:tr w:rsidR="00662A79" w:rsidRPr="00107536" w:rsidTr="002A5AB3">
        <w:trPr>
          <w:trHeight w:val="270"/>
        </w:trPr>
        <w:tc>
          <w:tcPr>
            <w:tcW w:w="1920" w:type="dxa"/>
            <w:tcBorders>
              <w:top w:val="nil"/>
              <w:left w:val="single" w:sz="8" w:space="0" w:color="auto"/>
              <w:bottom w:val="single" w:sz="8" w:space="0" w:color="auto"/>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20"/>
                <w:szCs w:val="20"/>
              </w:rPr>
            </w:pPr>
            <w:r w:rsidRPr="00107536">
              <w:rPr>
                <w:rFonts w:ascii="Arial" w:eastAsia="Times New Roman" w:hAnsi="Arial" w:cs="Arial"/>
                <w:color w:val="000000"/>
                <w:sz w:val="20"/>
                <w:szCs w:val="20"/>
              </w:rPr>
              <w:t> </w:t>
            </w:r>
            <w:r>
              <w:rPr>
                <w:rFonts w:ascii="Arial" w:eastAsia="Times New Roman" w:hAnsi="Arial" w:cs="Arial"/>
                <w:color w:val="000000"/>
                <w:sz w:val="20"/>
                <w:szCs w:val="20"/>
              </w:rPr>
              <w:t>ADMIN-2</w:t>
            </w:r>
          </w:p>
        </w:tc>
        <w:tc>
          <w:tcPr>
            <w:tcW w:w="7820" w:type="dxa"/>
            <w:gridSpan w:val="2"/>
            <w:tcBorders>
              <w:top w:val="nil"/>
              <w:left w:val="nil"/>
              <w:bottom w:val="single" w:sz="8" w:space="0" w:color="auto"/>
              <w:right w:val="single" w:sz="8" w:space="0" w:color="000000"/>
            </w:tcBorders>
            <w:shd w:val="clear" w:color="auto" w:fill="auto"/>
            <w:noWrap/>
            <w:vAlign w:val="bottom"/>
            <w:hideMark/>
          </w:tcPr>
          <w:p w:rsidR="00662A79" w:rsidRPr="00107536" w:rsidRDefault="00662A79" w:rsidP="00662A79">
            <w:pPr>
              <w:spacing w:after="0"/>
              <w:rPr>
                <w:rFonts w:ascii="Arial" w:eastAsia="Times New Roman" w:hAnsi="Arial" w:cs="Arial"/>
                <w:color w:val="000000"/>
              </w:rPr>
            </w:pPr>
            <w:r w:rsidRPr="00107536">
              <w:rPr>
                <w:rFonts w:ascii="Arial" w:eastAsia="Times New Roman" w:hAnsi="Arial" w:cs="Arial"/>
                <w:color w:val="000000"/>
                <w:sz w:val="20"/>
                <w:szCs w:val="20"/>
              </w:rPr>
              <w:t> </w:t>
            </w:r>
            <w:r w:rsidR="00AC7237">
              <w:rPr>
                <w:rFonts w:ascii="Arial" w:eastAsia="Times New Roman" w:hAnsi="Arial" w:cs="Arial"/>
                <w:color w:val="000000"/>
              </w:rPr>
              <w:t>Alterations to</w:t>
            </w:r>
            <w:r>
              <w:rPr>
                <w:rFonts w:ascii="Arial" w:eastAsia="Times New Roman" w:hAnsi="Arial" w:cs="Arial"/>
                <w:color w:val="000000"/>
              </w:rPr>
              <w:t xml:space="preserve"> University Facilities</w:t>
            </w:r>
            <w:r w:rsidRPr="00107536">
              <w:rPr>
                <w:rFonts w:ascii="Arial" w:eastAsia="Times New Roman" w:hAnsi="Arial" w:cs="Arial"/>
                <w:color w:val="000000"/>
              </w:rPr>
              <w:t>.</w:t>
            </w:r>
          </w:p>
        </w:tc>
      </w:tr>
      <w:tr w:rsidR="00662A79" w:rsidRPr="00107536" w:rsidTr="002A5AB3">
        <w:trPr>
          <w:trHeight w:val="255"/>
        </w:trPr>
        <w:tc>
          <w:tcPr>
            <w:tcW w:w="974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Purpose:</w:t>
            </w:r>
          </w:p>
        </w:tc>
      </w:tr>
      <w:tr w:rsidR="00662A79" w:rsidRPr="00107536" w:rsidTr="002A5AB3">
        <w:trPr>
          <w:trHeight w:val="491"/>
        </w:trPr>
        <w:tc>
          <w:tcPr>
            <w:tcW w:w="9740" w:type="dxa"/>
            <w:gridSpan w:val="3"/>
            <w:vMerge w:val="restart"/>
            <w:tcBorders>
              <w:top w:val="nil"/>
              <w:left w:val="single" w:sz="8" w:space="0" w:color="auto"/>
              <w:bottom w:val="single" w:sz="8" w:space="0" w:color="000000"/>
              <w:right w:val="single" w:sz="8" w:space="0" w:color="000000"/>
            </w:tcBorders>
            <w:shd w:val="clear" w:color="auto" w:fill="auto"/>
            <w:noWrap/>
            <w:vAlign w:val="bottom"/>
            <w:hideMark/>
          </w:tcPr>
          <w:p w:rsidR="00662A79" w:rsidRPr="00107536" w:rsidRDefault="00662A79" w:rsidP="00662A79">
            <w:pPr>
              <w:rPr>
                <w:rFonts w:ascii="Arial" w:hAnsi="Arial" w:cs="Arial"/>
              </w:rPr>
            </w:pPr>
            <w:r w:rsidRPr="00107536">
              <w:rPr>
                <w:rFonts w:ascii="Arial" w:hAnsi="Arial" w:cs="Arial"/>
              </w:rPr>
              <w:t xml:space="preserve">This administrative procedure </w:t>
            </w:r>
            <w:r>
              <w:rPr>
                <w:rFonts w:ascii="Arial" w:hAnsi="Arial" w:cs="Arial"/>
              </w:rPr>
              <w:t xml:space="preserve">prohibits any physical changes to University rooms, buildings, grounds, etc., without first getting written consent from the Chief Administrative Officer. The purpose is to reinforce that the </w:t>
            </w:r>
            <w:r w:rsidR="00AC7237">
              <w:rPr>
                <w:rFonts w:ascii="Arial" w:hAnsi="Arial" w:cs="Arial"/>
              </w:rPr>
              <w:t xml:space="preserve">structure and </w:t>
            </w:r>
            <w:r>
              <w:rPr>
                <w:rFonts w:ascii="Arial" w:hAnsi="Arial" w:cs="Arial"/>
              </w:rPr>
              <w:t>physical nature of University facilities are the responsibility of the University</w:t>
            </w:r>
            <w:r w:rsidR="00AC7237">
              <w:rPr>
                <w:rFonts w:ascii="Arial" w:hAnsi="Arial" w:cs="Arial"/>
              </w:rPr>
              <w:t xml:space="preserve"> and the Board of Governors</w:t>
            </w:r>
            <w:r>
              <w:rPr>
                <w:rFonts w:ascii="Arial" w:hAnsi="Arial" w:cs="Arial"/>
              </w:rPr>
              <w:t>, even though they may be predominantly utilized and operated by individual units. Any physical alterations need to adhere to certain institutional</w:t>
            </w:r>
            <w:r w:rsidR="00AC7237">
              <w:rPr>
                <w:rFonts w:ascii="Arial" w:hAnsi="Arial" w:cs="Arial"/>
              </w:rPr>
              <w:t xml:space="preserve"> standards and therefore must </w:t>
            </w:r>
            <w:r>
              <w:rPr>
                <w:rFonts w:ascii="Arial" w:hAnsi="Arial" w:cs="Arial"/>
              </w:rPr>
              <w:t>be approved by the Chief Administrative Officer. Approval is particularly important for any alterations to classrooms that may change seat counts and/or other historic uses.</w:t>
            </w:r>
          </w:p>
        </w:tc>
      </w:tr>
      <w:tr w:rsidR="00662A79" w:rsidRPr="00107536" w:rsidTr="002A5AB3">
        <w:trPr>
          <w:trHeight w:val="264"/>
        </w:trPr>
        <w:tc>
          <w:tcPr>
            <w:tcW w:w="9740" w:type="dxa"/>
            <w:gridSpan w:val="3"/>
            <w:vMerge/>
            <w:tcBorders>
              <w:top w:val="nil"/>
              <w:left w:val="single" w:sz="8" w:space="0" w:color="auto"/>
              <w:bottom w:val="single" w:sz="8" w:space="0" w:color="000000"/>
              <w:right w:val="single" w:sz="8" w:space="0" w:color="000000"/>
            </w:tcBorders>
            <w:vAlign w:val="center"/>
            <w:hideMark/>
          </w:tcPr>
          <w:p w:rsidR="00662A79" w:rsidRPr="00107536" w:rsidRDefault="00662A79" w:rsidP="002A5AB3">
            <w:pPr>
              <w:spacing w:after="0"/>
              <w:rPr>
                <w:rFonts w:ascii="Arial" w:eastAsia="Times New Roman" w:hAnsi="Arial" w:cs="Arial"/>
                <w:color w:val="000000"/>
                <w:sz w:val="20"/>
                <w:szCs w:val="20"/>
              </w:rPr>
            </w:pPr>
          </w:p>
        </w:tc>
      </w:tr>
      <w:tr w:rsidR="00662A79" w:rsidRPr="00107536" w:rsidTr="002A5AB3">
        <w:trPr>
          <w:trHeight w:val="264"/>
        </w:trPr>
        <w:tc>
          <w:tcPr>
            <w:tcW w:w="9740" w:type="dxa"/>
            <w:gridSpan w:val="3"/>
            <w:vMerge/>
            <w:tcBorders>
              <w:top w:val="nil"/>
              <w:left w:val="single" w:sz="8" w:space="0" w:color="auto"/>
              <w:bottom w:val="single" w:sz="8" w:space="0" w:color="000000"/>
              <w:right w:val="single" w:sz="8" w:space="0" w:color="000000"/>
            </w:tcBorders>
            <w:vAlign w:val="center"/>
            <w:hideMark/>
          </w:tcPr>
          <w:p w:rsidR="00662A79" w:rsidRPr="00107536" w:rsidRDefault="00662A79" w:rsidP="002A5AB3">
            <w:pPr>
              <w:spacing w:after="0"/>
              <w:rPr>
                <w:rFonts w:ascii="Arial" w:eastAsia="Times New Roman" w:hAnsi="Arial" w:cs="Arial"/>
                <w:color w:val="000000"/>
                <w:sz w:val="20"/>
                <w:szCs w:val="20"/>
              </w:rPr>
            </w:pPr>
          </w:p>
        </w:tc>
      </w:tr>
      <w:tr w:rsidR="00662A79" w:rsidRPr="00107536" w:rsidTr="002A5AB3">
        <w:trPr>
          <w:trHeight w:val="270"/>
        </w:trPr>
        <w:tc>
          <w:tcPr>
            <w:tcW w:w="9740" w:type="dxa"/>
            <w:gridSpan w:val="3"/>
            <w:vMerge/>
            <w:tcBorders>
              <w:top w:val="nil"/>
              <w:left w:val="single" w:sz="8" w:space="0" w:color="auto"/>
              <w:bottom w:val="single" w:sz="8" w:space="0" w:color="000000"/>
              <w:right w:val="single" w:sz="8" w:space="0" w:color="000000"/>
            </w:tcBorders>
            <w:vAlign w:val="center"/>
            <w:hideMark/>
          </w:tcPr>
          <w:p w:rsidR="00662A79" w:rsidRPr="00107536" w:rsidRDefault="00662A79" w:rsidP="002A5AB3">
            <w:pPr>
              <w:spacing w:after="0"/>
              <w:rPr>
                <w:rFonts w:ascii="Arial" w:eastAsia="Times New Roman" w:hAnsi="Arial" w:cs="Arial"/>
                <w:color w:val="000000"/>
                <w:sz w:val="20"/>
                <w:szCs w:val="20"/>
              </w:rPr>
            </w:pPr>
          </w:p>
        </w:tc>
      </w:tr>
      <w:tr w:rsidR="00662A79" w:rsidRPr="00107536" w:rsidTr="002A5AB3">
        <w:trPr>
          <w:trHeight w:val="255"/>
        </w:trPr>
        <w:tc>
          <w:tcPr>
            <w:tcW w:w="974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Responsible Unit:</w:t>
            </w:r>
          </w:p>
        </w:tc>
      </w:tr>
      <w:tr w:rsidR="00662A79" w:rsidRPr="00107536" w:rsidTr="002A5AB3">
        <w:trPr>
          <w:trHeight w:val="270"/>
        </w:trPr>
        <w:tc>
          <w:tcPr>
            <w:tcW w:w="9740" w:type="dxa"/>
            <w:gridSpan w:val="3"/>
            <w:tcBorders>
              <w:top w:val="nil"/>
              <w:left w:val="single" w:sz="8" w:space="0" w:color="auto"/>
              <w:bottom w:val="nil"/>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rPr>
            </w:pPr>
            <w:r w:rsidRPr="00107536">
              <w:rPr>
                <w:rFonts w:ascii="Arial" w:eastAsia="Times New Roman" w:hAnsi="Arial" w:cs="Arial"/>
                <w:color w:val="000000"/>
                <w:sz w:val="20"/>
                <w:szCs w:val="20"/>
              </w:rPr>
              <w:t> </w:t>
            </w:r>
            <w:r w:rsidRPr="008F5A97">
              <w:rPr>
                <w:rFonts w:ascii="Arial" w:eastAsia="Times New Roman" w:hAnsi="Arial" w:cs="Arial"/>
                <w:color w:val="000000"/>
              </w:rPr>
              <w:t>President’s Office</w:t>
            </w:r>
          </w:p>
        </w:tc>
      </w:tr>
      <w:tr w:rsidR="00662A79" w:rsidRPr="00107536" w:rsidTr="002A5AB3">
        <w:trPr>
          <w:trHeight w:val="255"/>
        </w:trPr>
        <w:tc>
          <w:tcPr>
            <w:tcW w:w="7755" w:type="dxa"/>
            <w:gridSpan w:val="2"/>
            <w:tcBorders>
              <w:top w:val="single" w:sz="8" w:space="0" w:color="auto"/>
              <w:left w:val="single" w:sz="8" w:space="0" w:color="auto"/>
              <w:bottom w:val="nil"/>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Approved by:</w:t>
            </w:r>
          </w:p>
        </w:tc>
        <w:tc>
          <w:tcPr>
            <w:tcW w:w="1985" w:type="dxa"/>
            <w:tcBorders>
              <w:top w:val="single" w:sz="8" w:space="0" w:color="auto"/>
              <w:left w:val="nil"/>
              <w:bottom w:val="nil"/>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Approval Date:</w:t>
            </w:r>
          </w:p>
        </w:tc>
      </w:tr>
      <w:tr w:rsidR="00662A79" w:rsidRPr="00107536" w:rsidTr="002A5AB3">
        <w:trPr>
          <w:trHeight w:val="270"/>
        </w:trPr>
        <w:tc>
          <w:tcPr>
            <w:tcW w:w="7755" w:type="dxa"/>
            <w:gridSpan w:val="2"/>
            <w:tcBorders>
              <w:top w:val="nil"/>
              <w:left w:val="single" w:sz="8" w:space="0" w:color="auto"/>
              <w:bottom w:val="single" w:sz="8" w:space="0" w:color="auto"/>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20"/>
                <w:szCs w:val="20"/>
              </w:rPr>
            </w:pPr>
            <w:r w:rsidRPr="00107536">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000000"/>
            </w:tcBorders>
            <w:shd w:val="clear" w:color="auto" w:fill="auto"/>
            <w:noWrap/>
            <w:vAlign w:val="bottom"/>
            <w:hideMark/>
          </w:tcPr>
          <w:p w:rsidR="00662A79" w:rsidRPr="00107536" w:rsidRDefault="00662A79" w:rsidP="002A5AB3">
            <w:pPr>
              <w:spacing w:after="0"/>
              <w:rPr>
                <w:rFonts w:ascii="Arial" w:eastAsia="Times New Roman" w:hAnsi="Arial" w:cs="Arial"/>
                <w:color w:val="000000"/>
                <w:sz w:val="20"/>
                <w:szCs w:val="20"/>
              </w:rPr>
            </w:pPr>
            <w:r w:rsidRPr="00107536">
              <w:rPr>
                <w:rFonts w:ascii="Arial" w:eastAsia="Times New Roman" w:hAnsi="Arial" w:cs="Arial"/>
                <w:color w:val="000000"/>
                <w:sz w:val="20"/>
                <w:szCs w:val="20"/>
              </w:rPr>
              <w:t> </w:t>
            </w:r>
          </w:p>
        </w:tc>
      </w:tr>
    </w:tbl>
    <w:p w:rsidR="00662A79" w:rsidRPr="00AC7237" w:rsidRDefault="00662A79" w:rsidP="00AC7237">
      <w:pPr>
        <w:rPr>
          <w:rFonts w:ascii="Arial" w:hAnsi="Arial" w:cs="Arial"/>
          <w:sz w:val="28"/>
          <w:szCs w:val="28"/>
        </w:rPr>
      </w:pPr>
    </w:p>
    <w:p w:rsidR="00AC7237" w:rsidRDefault="00885B55" w:rsidP="00AC7237">
      <w:pPr>
        <w:rPr>
          <w:rFonts w:ascii="Times New Roman" w:hAnsi="Times New Roman" w:cs="Times New Roman"/>
          <w:sz w:val="24"/>
          <w:szCs w:val="24"/>
        </w:rPr>
      </w:pPr>
      <w:r>
        <w:rPr>
          <w:rFonts w:ascii="Times New Roman" w:hAnsi="Times New Roman" w:cs="Times New Roman"/>
          <w:sz w:val="24"/>
          <w:szCs w:val="24"/>
        </w:rPr>
        <w:t xml:space="preserve">This administrative procedure is issued by the Office of the President. Its purpose is to ensure that alterations to University facilities are authorized and performed in accordance with and conform to University standards and practices. For example, all alterations must be documented in blueprints, plans, </w:t>
      </w:r>
      <w:r w:rsidRPr="00885B55">
        <w:rPr>
          <w:rFonts w:ascii="Times New Roman" w:hAnsi="Times New Roman" w:cs="Times New Roman"/>
          <w:i/>
          <w:sz w:val="24"/>
          <w:szCs w:val="24"/>
        </w:rPr>
        <w:t>etc.</w:t>
      </w:r>
      <w:r>
        <w:rPr>
          <w:rFonts w:ascii="Times New Roman" w:hAnsi="Times New Roman" w:cs="Times New Roman"/>
          <w:sz w:val="24"/>
          <w:szCs w:val="24"/>
        </w:rPr>
        <w:t xml:space="preserve"> and archived for future reference to ensure accurate reporting, health/safety considerations and reliable inventory documentation. </w:t>
      </w:r>
    </w:p>
    <w:p w:rsidR="00AC7237" w:rsidRDefault="00885B55" w:rsidP="00AC7237">
      <w:pPr>
        <w:pStyle w:val="ListParagraph"/>
        <w:numPr>
          <w:ilvl w:val="0"/>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 xml:space="preserve">All University facilities are under the purview of Marshall University and its Board of Governors. These facilities </w:t>
      </w:r>
      <w:r w:rsidR="00BE1B88" w:rsidRPr="00AC7237">
        <w:rPr>
          <w:rFonts w:ascii="Times New Roman" w:hAnsi="Times New Roman" w:cs="Times New Roman"/>
          <w:sz w:val="24"/>
          <w:szCs w:val="24"/>
        </w:rPr>
        <w:t xml:space="preserve">serve the needs </w:t>
      </w:r>
      <w:r w:rsidRPr="00AC7237">
        <w:rPr>
          <w:rFonts w:ascii="Times New Roman" w:hAnsi="Times New Roman" w:cs="Times New Roman"/>
          <w:sz w:val="24"/>
          <w:szCs w:val="24"/>
        </w:rPr>
        <w:t xml:space="preserve">of individual divisions, colleges departments, units, </w:t>
      </w:r>
      <w:r w:rsidRPr="00AC7237">
        <w:rPr>
          <w:rFonts w:ascii="Times New Roman" w:hAnsi="Times New Roman" w:cs="Times New Roman"/>
          <w:i/>
          <w:sz w:val="24"/>
          <w:szCs w:val="24"/>
        </w:rPr>
        <w:t>etc</w:t>
      </w:r>
      <w:r w:rsidR="00662A79" w:rsidRPr="00AC7237">
        <w:rPr>
          <w:rFonts w:ascii="Times New Roman" w:hAnsi="Times New Roman" w:cs="Times New Roman"/>
          <w:i/>
          <w:sz w:val="24"/>
          <w:szCs w:val="24"/>
        </w:rPr>
        <w:t xml:space="preserve">.; </w:t>
      </w:r>
      <w:r w:rsidR="00BE1B88" w:rsidRPr="00AC7237">
        <w:rPr>
          <w:rFonts w:ascii="Times New Roman" w:hAnsi="Times New Roman" w:cs="Times New Roman"/>
          <w:sz w:val="24"/>
          <w:szCs w:val="24"/>
        </w:rPr>
        <w:t>however, they remain university facilities.</w:t>
      </w:r>
    </w:p>
    <w:p w:rsidR="00AC7237" w:rsidRDefault="00BE1B88" w:rsidP="00AC7237">
      <w:pPr>
        <w:pStyle w:val="ListParagraph"/>
        <w:numPr>
          <w:ilvl w:val="0"/>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No individual, department or other entity may make alterations to University facilities</w:t>
      </w:r>
      <w:r w:rsidR="00662A79" w:rsidRPr="00AC7237">
        <w:rPr>
          <w:rFonts w:ascii="Times New Roman" w:hAnsi="Times New Roman" w:cs="Times New Roman"/>
          <w:sz w:val="24"/>
          <w:szCs w:val="24"/>
        </w:rPr>
        <w:t xml:space="preserve"> without the express written </w:t>
      </w:r>
      <w:r w:rsidRPr="00AC7237">
        <w:rPr>
          <w:rFonts w:ascii="Times New Roman" w:hAnsi="Times New Roman" w:cs="Times New Roman"/>
          <w:sz w:val="24"/>
          <w:szCs w:val="24"/>
        </w:rPr>
        <w:t>authorization of the Chief Administrative Officer of the University or his/her designee.</w:t>
      </w:r>
    </w:p>
    <w:p w:rsidR="00AC7237" w:rsidRDefault="00BE1B88" w:rsidP="00AC7237">
      <w:pPr>
        <w:pStyle w:val="ListParagraph"/>
        <w:numPr>
          <w:ilvl w:val="0"/>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Additional</w:t>
      </w:r>
      <w:r w:rsidR="00662A79" w:rsidRPr="00AC7237">
        <w:rPr>
          <w:rFonts w:ascii="Times New Roman" w:hAnsi="Times New Roman" w:cs="Times New Roman"/>
          <w:sz w:val="24"/>
          <w:szCs w:val="24"/>
        </w:rPr>
        <w:t>ly, no individual, department, or</w:t>
      </w:r>
      <w:r w:rsidRPr="00AC7237">
        <w:rPr>
          <w:rFonts w:ascii="Times New Roman" w:hAnsi="Times New Roman" w:cs="Times New Roman"/>
          <w:sz w:val="24"/>
          <w:szCs w:val="24"/>
        </w:rPr>
        <w:t xml:space="preserve"> other entity may initiate alterations to classroom facilities without receiving the express written </w:t>
      </w:r>
      <w:r w:rsidR="00662A79" w:rsidRPr="00AC7237">
        <w:rPr>
          <w:rFonts w:ascii="Times New Roman" w:hAnsi="Times New Roman" w:cs="Times New Roman"/>
          <w:sz w:val="24"/>
          <w:szCs w:val="24"/>
        </w:rPr>
        <w:t>authorization</w:t>
      </w:r>
      <w:r w:rsidRPr="00AC7237">
        <w:rPr>
          <w:rFonts w:ascii="Times New Roman" w:hAnsi="Times New Roman" w:cs="Times New Roman"/>
          <w:sz w:val="24"/>
          <w:szCs w:val="24"/>
        </w:rPr>
        <w:t xml:space="preserve"> of the Chief Administra</w:t>
      </w:r>
      <w:r w:rsidR="00662A79" w:rsidRPr="00AC7237">
        <w:rPr>
          <w:rFonts w:ascii="Times New Roman" w:hAnsi="Times New Roman" w:cs="Times New Roman"/>
          <w:sz w:val="24"/>
          <w:szCs w:val="24"/>
        </w:rPr>
        <w:t xml:space="preserve">tive Officer of the University </w:t>
      </w:r>
      <w:r w:rsidRPr="00AC7237">
        <w:rPr>
          <w:rFonts w:ascii="Times New Roman" w:hAnsi="Times New Roman" w:cs="Times New Roman"/>
          <w:sz w:val="24"/>
          <w:szCs w:val="24"/>
        </w:rPr>
        <w:t>or his/her designee, regardless of the source of funding.</w:t>
      </w:r>
    </w:p>
    <w:p w:rsidR="00AC7237" w:rsidRDefault="009A23BB" w:rsidP="00AC7237">
      <w:pPr>
        <w:pStyle w:val="ListParagraph"/>
        <w:numPr>
          <w:ilvl w:val="0"/>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Modifications involving f</w:t>
      </w:r>
      <w:r w:rsidR="00BE1B88" w:rsidRPr="00AC7237">
        <w:rPr>
          <w:rFonts w:ascii="Times New Roman" w:hAnsi="Times New Roman" w:cs="Times New Roman"/>
          <w:sz w:val="24"/>
          <w:szCs w:val="24"/>
        </w:rPr>
        <w:t xml:space="preserve">ixed and semi-fixed enhancements and décor (paint, carpet, window blinds/shades, lighting fixtures, </w:t>
      </w:r>
      <w:r w:rsidR="00BE1B88" w:rsidRPr="00AC7237">
        <w:rPr>
          <w:rFonts w:ascii="Times New Roman" w:hAnsi="Times New Roman" w:cs="Times New Roman"/>
          <w:i/>
          <w:sz w:val="24"/>
          <w:szCs w:val="24"/>
        </w:rPr>
        <w:t>etc.</w:t>
      </w:r>
      <w:r w:rsidR="007D14AC" w:rsidRPr="00AC7237">
        <w:rPr>
          <w:rFonts w:ascii="Times New Roman" w:hAnsi="Times New Roman" w:cs="Times New Roman"/>
          <w:sz w:val="24"/>
          <w:szCs w:val="24"/>
        </w:rPr>
        <w:t>)</w:t>
      </w:r>
      <w:r w:rsidR="00BE1B88" w:rsidRPr="00AC7237">
        <w:rPr>
          <w:rFonts w:ascii="Times New Roman" w:hAnsi="Times New Roman" w:cs="Times New Roman"/>
          <w:sz w:val="24"/>
          <w:szCs w:val="24"/>
        </w:rPr>
        <w:t xml:space="preserve"> for University offices, classrooms and other </w:t>
      </w:r>
      <w:r w:rsidR="00BE1B88" w:rsidRPr="00AC7237">
        <w:rPr>
          <w:rFonts w:ascii="Times New Roman" w:hAnsi="Times New Roman" w:cs="Times New Roman"/>
          <w:sz w:val="24"/>
          <w:szCs w:val="24"/>
        </w:rPr>
        <w:lastRenderedPageBreak/>
        <w:t xml:space="preserve">facilities </w:t>
      </w:r>
      <w:r w:rsidR="007D14AC" w:rsidRPr="00AC7237">
        <w:rPr>
          <w:rFonts w:ascii="Times New Roman" w:hAnsi="Times New Roman" w:cs="Times New Roman"/>
          <w:sz w:val="24"/>
          <w:szCs w:val="24"/>
        </w:rPr>
        <w:t>constitute</w:t>
      </w:r>
      <w:r w:rsidRPr="00AC7237">
        <w:rPr>
          <w:rFonts w:ascii="Times New Roman" w:hAnsi="Times New Roman" w:cs="Times New Roman"/>
          <w:sz w:val="24"/>
          <w:szCs w:val="24"/>
        </w:rPr>
        <w:t xml:space="preserve"> work that </w:t>
      </w:r>
      <w:r w:rsidR="00BE1B88" w:rsidRPr="00AC7237">
        <w:rPr>
          <w:rFonts w:ascii="Times New Roman" w:hAnsi="Times New Roman" w:cs="Times New Roman"/>
          <w:sz w:val="24"/>
          <w:szCs w:val="24"/>
        </w:rPr>
        <w:t>may only be performed by Physical Plant and/or their authorized contractors.</w:t>
      </w:r>
    </w:p>
    <w:p w:rsidR="00AC7237" w:rsidRDefault="009A23BB" w:rsidP="00AC7237">
      <w:pPr>
        <w:pStyle w:val="ListParagraph"/>
        <w:numPr>
          <w:ilvl w:val="0"/>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 xml:space="preserve">No individual, department, or other entity may affix or cause to have affixed any name to any University facility without the express </w:t>
      </w:r>
      <w:r w:rsidR="00662A79" w:rsidRPr="00AC7237">
        <w:rPr>
          <w:rFonts w:ascii="Times New Roman" w:hAnsi="Times New Roman" w:cs="Times New Roman"/>
          <w:sz w:val="24"/>
          <w:szCs w:val="24"/>
        </w:rPr>
        <w:t>approval</w:t>
      </w:r>
      <w:r w:rsidRPr="00AC7237">
        <w:rPr>
          <w:rFonts w:ascii="Times New Roman" w:hAnsi="Times New Roman" w:cs="Times New Roman"/>
          <w:sz w:val="24"/>
          <w:szCs w:val="24"/>
        </w:rPr>
        <w:t xml:space="preserve"> of the Board of Governors</w:t>
      </w:r>
      <w:r w:rsidR="007D14AC" w:rsidRPr="00AC7237">
        <w:rPr>
          <w:rFonts w:ascii="Times New Roman" w:hAnsi="Times New Roman" w:cs="Times New Roman"/>
          <w:sz w:val="24"/>
          <w:szCs w:val="24"/>
        </w:rPr>
        <w:t xml:space="preserve"> in accordance with MUBOG Policy </w:t>
      </w:r>
      <w:hyperlink r:id="rId6" w:history="1">
        <w:r w:rsidR="007D14AC" w:rsidRPr="00AC7237">
          <w:rPr>
            <w:rStyle w:val="Hyperlink"/>
            <w:rFonts w:ascii="Times New Roman" w:hAnsi="Times New Roman" w:cs="Times New Roman"/>
            <w:sz w:val="24"/>
            <w:szCs w:val="24"/>
          </w:rPr>
          <w:t>GA-10</w:t>
        </w:r>
      </w:hyperlink>
      <w:r w:rsidRPr="00AC7237">
        <w:rPr>
          <w:rFonts w:ascii="Times New Roman" w:hAnsi="Times New Roman" w:cs="Times New Roman"/>
          <w:sz w:val="24"/>
          <w:szCs w:val="24"/>
        </w:rPr>
        <w:t xml:space="preserve">. </w:t>
      </w:r>
      <w:r w:rsidR="005C47DD" w:rsidRPr="00AC7237">
        <w:rPr>
          <w:rFonts w:ascii="Times New Roman" w:hAnsi="Times New Roman" w:cs="Times New Roman"/>
          <w:sz w:val="24"/>
          <w:szCs w:val="24"/>
        </w:rPr>
        <w:t>Temporary signage designating an office’s occupant(s) is exempted.</w:t>
      </w:r>
    </w:p>
    <w:p w:rsidR="00AC7237" w:rsidRDefault="005C47DD" w:rsidP="00AC7237">
      <w:pPr>
        <w:pStyle w:val="ListParagraph"/>
        <w:numPr>
          <w:ilvl w:val="0"/>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Definitions:</w:t>
      </w:r>
    </w:p>
    <w:p w:rsidR="00AC7237" w:rsidRDefault="005C47DD" w:rsidP="00AC7237">
      <w:pPr>
        <w:pStyle w:val="ListParagraph"/>
        <w:numPr>
          <w:ilvl w:val="1"/>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 xml:space="preserve">“Facility” means any room, building, structure, ground, space, </w:t>
      </w:r>
      <w:r w:rsidRPr="00AC7237">
        <w:rPr>
          <w:rFonts w:ascii="Times New Roman" w:hAnsi="Times New Roman" w:cs="Times New Roman"/>
          <w:i/>
          <w:sz w:val="24"/>
          <w:szCs w:val="24"/>
        </w:rPr>
        <w:t>etc.</w:t>
      </w:r>
      <w:r w:rsidRPr="00AC7237">
        <w:rPr>
          <w:rFonts w:ascii="Times New Roman" w:hAnsi="Times New Roman" w:cs="Times New Roman"/>
          <w:sz w:val="24"/>
          <w:szCs w:val="24"/>
        </w:rPr>
        <w:t xml:space="preserve"> on Marshall University property.</w:t>
      </w:r>
    </w:p>
    <w:p w:rsidR="00AC7237" w:rsidRDefault="005C47DD" w:rsidP="00AC7237">
      <w:pPr>
        <w:pStyle w:val="ListParagraph"/>
        <w:numPr>
          <w:ilvl w:val="1"/>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“Alteration” means any change which may make a facility incapable of serving in its historic capacity.</w:t>
      </w:r>
    </w:p>
    <w:p w:rsidR="00AC7237" w:rsidRDefault="005C47DD" w:rsidP="00AC7237">
      <w:pPr>
        <w:pStyle w:val="ListParagraph"/>
        <w:numPr>
          <w:ilvl w:val="1"/>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“Classroom” means any room which has historically held classes and/or may hold classes in the next one-to-two years.</w:t>
      </w:r>
    </w:p>
    <w:p w:rsidR="005C47DD" w:rsidRPr="00AC7237" w:rsidRDefault="005C47DD" w:rsidP="00AC7237">
      <w:pPr>
        <w:pStyle w:val="ListParagraph"/>
        <w:numPr>
          <w:ilvl w:val="1"/>
          <w:numId w:val="1"/>
        </w:numPr>
        <w:contextualSpacing w:val="0"/>
        <w:rPr>
          <w:rFonts w:ascii="Times New Roman" w:hAnsi="Times New Roman" w:cs="Times New Roman"/>
          <w:sz w:val="24"/>
          <w:szCs w:val="24"/>
        </w:rPr>
      </w:pPr>
      <w:r w:rsidRPr="00AC7237">
        <w:rPr>
          <w:rFonts w:ascii="Times New Roman" w:hAnsi="Times New Roman" w:cs="Times New Roman"/>
          <w:sz w:val="24"/>
          <w:szCs w:val="24"/>
        </w:rPr>
        <w:t xml:space="preserve">“Name” means the name of any individual, commercial entity, </w:t>
      </w:r>
      <w:r w:rsidRPr="00AC7237">
        <w:rPr>
          <w:rFonts w:ascii="Times New Roman" w:hAnsi="Times New Roman" w:cs="Times New Roman"/>
          <w:i/>
          <w:sz w:val="24"/>
          <w:szCs w:val="24"/>
        </w:rPr>
        <w:t>etc.</w:t>
      </w:r>
      <w:r w:rsidR="007D14AC" w:rsidRPr="00AC7237">
        <w:rPr>
          <w:rFonts w:ascii="Times New Roman" w:hAnsi="Times New Roman" w:cs="Times New Roman"/>
          <w:i/>
          <w:sz w:val="24"/>
          <w:szCs w:val="24"/>
        </w:rPr>
        <w:t>,</w:t>
      </w:r>
      <w:r w:rsidRPr="00AC7237">
        <w:rPr>
          <w:rFonts w:ascii="Times New Roman" w:hAnsi="Times New Roman" w:cs="Times New Roman"/>
          <w:sz w:val="24"/>
          <w:szCs w:val="24"/>
        </w:rPr>
        <w:t xml:space="preserve"> any word or phrase used to desig</w:t>
      </w:r>
      <w:r w:rsidR="004B587F" w:rsidRPr="00AC7237">
        <w:rPr>
          <w:rFonts w:ascii="Times New Roman" w:hAnsi="Times New Roman" w:cs="Times New Roman"/>
          <w:sz w:val="24"/>
          <w:szCs w:val="24"/>
        </w:rPr>
        <w:t xml:space="preserve">nate a room or other facility, </w:t>
      </w:r>
      <w:r w:rsidRPr="00AC7237">
        <w:rPr>
          <w:rFonts w:ascii="Times New Roman" w:hAnsi="Times New Roman" w:cs="Times New Roman"/>
          <w:sz w:val="24"/>
          <w:szCs w:val="24"/>
        </w:rPr>
        <w:t>or dedication or memorial.</w:t>
      </w:r>
    </w:p>
    <w:sectPr w:rsidR="005C47DD" w:rsidRPr="00AC7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B6F45"/>
    <w:multiLevelType w:val="hybridMultilevel"/>
    <w:tmpl w:val="0A7EFBF0"/>
    <w:lvl w:ilvl="0" w:tplc="C584ED5A">
      <w:start w:val="1"/>
      <w:numFmt w:val="decimal"/>
      <w:lvlText w:val="%1."/>
      <w:lvlJc w:val="left"/>
      <w:pPr>
        <w:ind w:left="720" w:hanging="360"/>
      </w:pPr>
      <w:rPr>
        <w:rFonts w:ascii="Times New Roman" w:eastAsiaTheme="minorHAnsi" w:hAnsi="Times New Roman" w:cs="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BF"/>
    <w:rsid w:val="001728C2"/>
    <w:rsid w:val="004B587F"/>
    <w:rsid w:val="005C47DD"/>
    <w:rsid w:val="00662A79"/>
    <w:rsid w:val="0072101C"/>
    <w:rsid w:val="007D14AC"/>
    <w:rsid w:val="007E517D"/>
    <w:rsid w:val="00885B55"/>
    <w:rsid w:val="009A23BB"/>
    <w:rsid w:val="00AC7237"/>
    <w:rsid w:val="00BE1B88"/>
    <w:rsid w:val="00C6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55"/>
    <w:pPr>
      <w:ind w:left="720"/>
      <w:contextualSpacing/>
    </w:pPr>
  </w:style>
  <w:style w:type="character" w:styleId="Hyperlink">
    <w:name w:val="Hyperlink"/>
    <w:basedOn w:val="DefaultParagraphFont"/>
    <w:uiPriority w:val="99"/>
    <w:unhideWhenUsed/>
    <w:rsid w:val="007D14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55"/>
    <w:pPr>
      <w:ind w:left="720"/>
      <w:contextualSpacing/>
    </w:pPr>
  </w:style>
  <w:style w:type="character" w:styleId="Hyperlink">
    <w:name w:val="Hyperlink"/>
    <w:basedOn w:val="DefaultParagraphFont"/>
    <w:uiPriority w:val="99"/>
    <w:unhideWhenUsed/>
    <w:rsid w:val="007D1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shall.edu/president/board/Policies/MUBOG%20GA-10%20%20Naming%20of%20Units%20and%20Facilitie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 Stephen</dc:creator>
  <cp:lastModifiedBy>Mayo, Nicole</cp:lastModifiedBy>
  <cp:revision>2</cp:revision>
  <cp:lastPrinted>2012-02-24T15:03:00Z</cp:lastPrinted>
  <dcterms:created xsi:type="dcterms:W3CDTF">2012-04-30T11:59:00Z</dcterms:created>
  <dcterms:modified xsi:type="dcterms:W3CDTF">2012-04-30T11:59:00Z</dcterms:modified>
</cp:coreProperties>
</file>