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8FE1" w14:textId="67817531" w:rsidR="005146B6" w:rsidRDefault="004C2E1F" w:rsidP="004C2E1F">
      <w:pPr>
        <w:jc w:val="center"/>
        <w:rPr>
          <w:b/>
          <w:sz w:val="32"/>
        </w:rPr>
      </w:pPr>
      <w:r>
        <w:rPr>
          <w:b/>
          <w:sz w:val="32"/>
        </w:rPr>
        <w:t>Lewis College of Business</w:t>
      </w:r>
      <w:r w:rsidR="00662F19">
        <w:rPr>
          <w:b/>
          <w:sz w:val="32"/>
        </w:rPr>
        <w:t xml:space="preserve"> </w:t>
      </w:r>
      <w:r>
        <w:rPr>
          <w:b/>
          <w:sz w:val="32"/>
        </w:rPr>
        <w:t xml:space="preserve">Sabbatical Leave Policy </w:t>
      </w:r>
    </w:p>
    <w:p w14:paraId="70D6B37C" w14:textId="51FB360C" w:rsidR="005146B6" w:rsidRDefault="005146B6">
      <w:r>
        <w:t>Faculty exploring the possibility of sabbatical leave should familiarize themselves with details provided in MUBOG Rule AA-1.</w:t>
      </w:r>
      <w:r w:rsidR="002A7BC7">
        <w:t xml:space="preserve"> (See page </w:t>
      </w:r>
      <w:r w:rsidR="00E53CEB">
        <w:t>4</w:t>
      </w:r>
      <w:r w:rsidR="004D1CA4">
        <w:t xml:space="preserve"> of this document</w:t>
      </w:r>
      <w:r w:rsidR="002A7BC7">
        <w:t>, or go to:</w:t>
      </w:r>
      <w:r>
        <w:t xml:space="preserve"> (</w:t>
      </w:r>
      <w:hyperlink r:id="rId8" w:history="1">
        <w:r w:rsidRPr="008330F4">
          <w:rPr>
            <w:rStyle w:val="Hyperlink"/>
          </w:rPr>
          <w:t>https://www.marshall.edu/policies/files/2024/09/MUBOG-AA-1-Sabbatical-Leave.pdf</w:t>
        </w:r>
      </w:hyperlink>
      <w:r>
        <w:t xml:space="preserve">) </w:t>
      </w:r>
    </w:p>
    <w:p w14:paraId="035951FE" w14:textId="4EB0D075" w:rsidR="005146B6" w:rsidRDefault="005146B6">
      <w:r>
        <w:t xml:space="preserve">Each </w:t>
      </w:r>
      <w:r w:rsidR="008B1A3C">
        <w:t xml:space="preserve">spring </w:t>
      </w:r>
      <w:r>
        <w:t>semester, by May 1, the dean should identify faculty eligible for sabbatical leave and make them aware of the opportunity. If a faculty member has not received notice from the dean by May 1 and is uncertain about his/her eligibility for sabbatical leave, they should contact the dean’s office.</w:t>
      </w:r>
    </w:p>
    <w:p w14:paraId="2E5EB166" w14:textId="5197B56A" w:rsidR="005146B6" w:rsidRDefault="005146B6">
      <w:r>
        <w:t>Eligible faculty should consult with their respective department chair</w:t>
      </w:r>
      <w:r w:rsidR="008B1A3C">
        <w:t>s</w:t>
      </w:r>
      <w:r>
        <w:t xml:space="preserve"> about their anticipated plans before building their sabbatical leave proposal</w:t>
      </w:r>
      <w:r w:rsidR="00FA550D">
        <w:t xml:space="preserve"> and completing the application packet. </w:t>
      </w:r>
    </w:p>
    <w:p w14:paraId="02CF0B57" w14:textId="77777777" w:rsidR="00FA550D" w:rsidRDefault="005146B6" w:rsidP="00FA550D">
      <w:pPr>
        <w:spacing w:after="0"/>
      </w:pPr>
      <w:r>
        <w:t>The application packet must include the three (3) forms specified in M</w:t>
      </w:r>
      <w:r w:rsidR="008B1A3C">
        <w:t>U</w:t>
      </w:r>
      <w:r>
        <w:t xml:space="preserve">BOG Rule AA-1, properly completed by the applicant. Forms are </w:t>
      </w:r>
      <w:r w:rsidR="002A7BC7">
        <w:t xml:space="preserve">on pages </w:t>
      </w:r>
      <w:r w:rsidR="00FA550D">
        <w:t>7-9</w:t>
      </w:r>
      <w:r w:rsidR="002A7BC7">
        <w:t xml:space="preserve"> (this document), but the applicant will need to download the forms, which are </w:t>
      </w:r>
      <w:r>
        <w:t xml:space="preserve">available at </w:t>
      </w:r>
      <w:hyperlink r:id="rId9" w:history="1">
        <w:r w:rsidRPr="005146B6">
          <w:rPr>
            <w:rStyle w:val="Hyperlink"/>
          </w:rPr>
          <w:t>Sabbatical Leave – Faculty Senate</w:t>
        </w:r>
      </w:hyperlink>
      <w:r>
        <w:t xml:space="preserve"> (</w:t>
      </w:r>
      <w:hyperlink r:id="rId10" w:history="1">
        <w:r w:rsidRPr="008330F4">
          <w:rPr>
            <w:rStyle w:val="Hyperlink"/>
          </w:rPr>
          <w:t>https://www.marshall.edu/faculty-senate/sabbatical-leave/</w:t>
        </w:r>
      </w:hyperlink>
      <w:r>
        <w:t xml:space="preserve">). </w:t>
      </w:r>
      <w:r w:rsidR="005C4AC4">
        <w:t xml:space="preserve"> </w:t>
      </w:r>
    </w:p>
    <w:p w14:paraId="31F89CA3" w14:textId="7A96B5F2" w:rsidR="005146B6" w:rsidRDefault="005146B6">
      <w:r>
        <w:t>The three forms</w:t>
      </w:r>
      <w:r w:rsidR="00FA550D">
        <w:t xml:space="preserve"> are</w:t>
      </w:r>
      <w:r>
        <w:t>:</w:t>
      </w:r>
    </w:p>
    <w:p w14:paraId="3EF325C7" w14:textId="7FCB3A95" w:rsidR="005146B6" w:rsidRDefault="002A7BC7" w:rsidP="00FE032B">
      <w:pPr>
        <w:pStyle w:val="ListParagraph"/>
        <w:numPr>
          <w:ilvl w:val="0"/>
          <w:numId w:val="21"/>
        </w:numPr>
        <w:ind w:hanging="720"/>
      </w:pPr>
      <w:r>
        <w:t>Page</w:t>
      </w:r>
      <w:r w:rsidR="00FE032B">
        <w:t xml:space="preserve"> </w:t>
      </w:r>
      <w:r w:rsidR="007C58E7">
        <w:t>7</w:t>
      </w:r>
      <w:r>
        <w:t xml:space="preserve">: </w:t>
      </w:r>
      <w:r w:rsidR="005146B6">
        <w:t xml:space="preserve">Sabbatical Leave Procedure, Information, and Routing: </w:t>
      </w:r>
      <w:hyperlink r:id="rId11" w:history="1">
        <w:r w:rsidR="005146B6" w:rsidRPr="008330F4">
          <w:rPr>
            <w:rStyle w:val="Hyperlink"/>
          </w:rPr>
          <w:t>https://www.marshall.edu/faculty-senate/files/SLRouting-2025.11.pdf</w:t>
        </w:r>
      </w:hyperlink>
      <w:r w:rsidR="005146B6">
        <w:t xml:space="preserve"> </w:t>
      </w:r>
    </w:p>
    <w:p w14:paraId="58B9FEA1" w14:textId="0C4D6DFE" w:rsidR="005146B6" w:rsidRDefault="002A7BC7" w:rsidP="00FE032B">
      <w:pPr>
        <w:pStyle w:val="ListParagraph"/>
        <w:numPr>
          <w:ilvl w:val="0"/>
          <w:numId w:val="21"/>
        </w:numPr>
        <w:ind w:hanging="720"/>
      </w:pPr>
      <w:r>
        <w:t xml:space="preserve">Page </w:t>
      </w:r>
      <w:r w:rsidR="007C58E7">
        <w:t>8</w:t>
      </w:r>
      <w:r>
        <w:t xml:space="preserve">: </w:t>
      </w:r>
      <w:r w:rsidR="005146B6">
        <w:t>Sabbatical Leave Request</w:t>
      </w:r>
      <w:r w:rsidR="00FE032B">
        <w:t xml:space="preserve"> Summary Sheet</w:t>
      </w:r>
      <w:r w:rsidR="005146B6">
        <w:t xml:space="preserve">: </w:t>
      </w:r>
      <w:hyperlink r:id="rId12" w:history="1">
        <w:r w:rsidR="005146B6" w:rsidRPr="008330F4">
          <w:rPr>
            <w:rStyle w:val="Hyperlink"/>
          </w:rPr>
          <w:t>https://www.marshall.edu/faculty-senate/files/SLRequest.pdf</w:t>
        </w:r>
      </w:hyperlink>
    </w:p>
    <w:p w14:paraId="3538AF7E" w14:textId="7437662B" w:rsidR="005146B6" w:rsidRDefault="002A7BC7" w:rsidP="00FE032B">
      <w:pPr>
        <w:pStyle w:val="ListParagraph"/>
        <w:numPr>
          <w:ilvl w:val="0"/>
          <w:numId w:val="21"/>
        </w:numPr>
        <w:ind w:left="0" w:firstLine="0"/>
      </w:pPr>
      <w:r>
        <w:t xml:space="preserve">Page </w:t>
      </w:r>
      <w:r w:rsidR="007C58E7">
        <w:t>9</w:t>
      </w:r>
      <w:r>
        <w:t xml:space="preserve">: </w:t>
      </w:r>
      <w:r w:rsidR="005146B6">
        <w:t xml:space="preserve">Sabbatical Leave Agreement: </w:t>
      </w:r>
      <w:hyperlink r:id="rId13" w:history="1">
        <w:r w:rsidR="005146B6" w:rsidRPr="008330F4">
          <w:rPr>
            <w:rStyle w:val="Hyperlink"/>
          </w:rPr>
          <w:t>https://www.marshall.edu/faculty-senate/files/SLAgree-2025.11.pdf</w:t>
        </w:r>
      </w:hyperlink>
      <w:r w:rsidR="005146B6">
        <w:t xml:space="preserve"> </w:t>
      </w:r>
    </w:p>
    <w:p w14:paraId="14894B22" w14:textId="77777777" w:rsidR="005146B6" w:rsidRDefault="005146B6">
      <w:r>
        <w:t xml:space="preserve">The most crucial part of the application is the description of activities to be completed during the sabbatical leave. </w:t>
      </w:r>
    </w:p>
    <w:p w14:paraId="3BFDACD4" w14:textId="2768B211" w:rsidR="005146B6" w:rsidRDefault="005146B6">
      <w:r>
        <w:t>These activities will be evaluated based on their contribution to improving research or teaching</w:t>
      </w:r>
      <w:r w:rsidR="008B1A3C">
        <w:t xml:space="preserve"> or other </w:t>
      </w:r>
      <w:proofErr w:type="gramStart"/>
      <w:r w:rsidR="008B1A3C">
        <w:t>student success</w:t>
      </w:r>
      <w:proofErr w:type="gramEnd"/>
      <w:r w:rsidR="008B1A3C">
        <w:t xml:space="preserve"> enhancement</w:t>
      </w:r>
      <w:r w:rsidR="00FE032B">
        <w:t>s</w:t>
      </w:r>
      <w:r>
        <w:t xml:space="preserve"> </w:t>
      </w:r>
      <w:r w:rsidR="008B1A3C">
        <w:t xml:space="preserve">(details in </w:t>
      </w:r>
      <w:r w:rsidR="00FE032B">
        <w:t>r</w:t>
      </w:r>
      <w:r w:rsidR="008B1A3C">
        <w:t xml:space="preserve">ubric </w:t>
      </w:r>
      <w:r w:rsidR="00FE032B">
        <w:t xml:space="preserve">on </w:t>
      </w:r>
      <w:r w:rsidR="008B1A3C">
        <w:t xml:space="preserve">next page) </w:t>
      </w:r>
      <w:r>
        <w:t>within the department, the college and/or the university.</w:t>
      </w:r>
    </w:p>
    <w:p w14:paraId="4502DE72" w14:textId="28241832" w:rsidR="00CD588F" w:rsidRPr="00FE032B" w:rsidRDefault="00CD588F">
      <w:r w:rsidRPr="00FE032B">
        <w:t>The complete application package must be submitted to the department chair by September 1.</w:t>
      </w:r>
    </w:p>
    <w:p w14:paraId="146AA6E4" w14:textId="65F0A7C9" w:rsidR="00CD588F" w:rsidRPr="00FE032B" w:rsidRDefault="00CD588F">
      <w:r w:rsidRPr="00FE032B">
        <w:t xml:space="preserve">The application will be evaluated by the department chair, then the LCOB Sabbatical Leave </w:t>
      </w:r>
      <w:r w:rsidR="00E55CAD" w:rsidRPr="00FE032B">
        <w:rPr>
          <w:i/>
          <w:iCs/>
        </w:rPr>
        <w:t xml:space="preserve">ad hoc </w:t>
      </w:r>
      <w:r w:rsidRPr="00FE032B">
        <w:t>Task Force</w:t>
      </w:r>
      <w:r w:rsidR="00CA2ECF" w:rsidRPr="00FE032B">
        <w:t xml:space="preserve"> (</w:t>
      </w:r>
      <w:r w:rsidR="00977FD6" w:rsidRPr="00FE032B">
        <w:t xml:space="preserve">rather than the </w:t>
      </w:r>
      <w:r w:rsidR="00E55CAD" w:rsidRPr="00FE032B">
        <w:t>“</w:t>
      </w:r>
      <w:r w:rsidR="00977FD6" w:rsidRPr="00FE032B">
        <w:rPr>
          <w:color w:val="0E0E0E"/>
          <w:w w:val="105"/>
        </w:rPr>
        <w:t>College-level Faculty Personnel Committee</w:t>
      </w:r>
      <w:r w:rsidR="00E55CAD" w:rsidRPr="00FE032B">
        <w:rPr>
          <w:color w:val="0E0E0E"/>
          <w:w w:val="105"/>
        </w:rPr>
        <w:t>”</w:t>
      </w:r>
      <w:r w:rsidR="00977FD6" w:rsidRPr="00FE032B">
        <w:rPr>
          <w:color w:val="0E0E0E"/>
          <w:w w:val="105"/>
        </w:rPr>
        <w:t xml:space="preserve"> as stated in Rule No. AA-1</w:t>
      </w:r>
      <w:r w:rsidR="00FE032B" w:rsidRPr="00FE032B">
        <w:rPr>
          <w:color w:val="0E0E0E"/>
          <w:w w:val="105"/>
        </w:rPr>
        <w:t>)</w:t>
      </w:r>
      <w:r w:rsidR="00FE032B">
        <w:rPr>
          <w:color w:val="0E0E0E"/>
          <w:w w:val="105"/>
        </w:rPr>
        <w:t xml:space="preserve">. </w:t>
      </w:r>
      <w:r w:rsidR="00FE032B" w:rsidRPr="00FE032B">
        <w:rPr>
          <w:color w:val="0E0E0E"/>
          <w:w w:val="105"/>
        </w:rPr>
        <w:t xml:space="preserve">Work of </w:t>
      </w:r>
      <w:r w:rsidR="00FE032B">
        <w:rPr>
          <w:color w:val="0E0E0E"/>
          <w:w w:val="105"/>
        </w:rPr>
        <w:t>the Task Force is</w:t>
      </w:r>
      <w:r w:rsidR="00977FD6" w:rsidRPr="00FE032B">
        <w:rPr>
          <w:color w:val="0E0E0E"/>
          <w:w w:val="105"/>
        </w:rPr>
        <w:t xml:space="preserve"> </w:t>
      </w:r>
      <w:r w:rsidR="00CA2ECF" w:rsidRPr="00FE032B">
        <w:t>limited to the time needed to evaluate the Sabbatical Leave applications during th</w:t>
      </w:r>
      <w:r w:rsidR="008B1A3C" w:rsidRPr="00FE032B">
        <w:t>e</w:t>
      </w:r>
      <w:r w:rsidR="00CA2ECF" w:rsidRPr="00FE032B">
        <w:t xml:space="preserve"> month of September</w:t>
      </w:r>
      <w:r w:rsidR="00FE032B">
        <w:t xml:space="preserve">.  After receiving evaluations from the Task Force, </w:t>
      </w:r>
      <w:r w:rsidRPr="00FE032B">
        <w:t>the college dean</w:t>
      </w:r>
      <w:r w:rsidR="00FE032B">
        <w:t xml:space="preserve"> will complete his or her evaluations of the application packets</w:t>
      </w:r>
      <w:r w:rsidRPr="00FE032B">
        <w:t>.</w:t>
      </w:r>
    </w:p>
    <w:p w14:paraId="404FEEBD" w14:textId="1E6DD437" w:rsidR="00662F19" w:rsidRPr="00FE032B" w:rsidRDefault="00CD588F" w:rsidP="00662F19">
      <w:r w:rsidRPr="00FE032B">
        <w:t xml:space="preserve">At </w:t>
      </w:r>
      <w:r w:rsidR="00FE032B">
        <w:t xml:space="preserve">the </w:t>
      </w:r>
      <w:r w:rsidRPr="00FE032B">
        <w:t>university level, application materials are also evaluated by the University Faculty Personnel Committee</w:t>
      </w:r>
      <w:r w:rsidR="00FE032B">
        <w:t xml:space="preserve"> and</w:t>
      </w:r>
      <w:r w:rsidRPr="00FE032B">
        <w:t xml:space="preserve"> the Chief Academic Officer. The Chief Academic Officer will make a final recommendation to the University President who will issue his or her final decision by January 29.</w:t>
      </w:r>
      <w:r w:rsidR="00662F19" w:rsidRPr="00FE032B">
        <w:t xml:space="preserve"> </w:t>
      </w:r>
    </w:p>
    <w:p w14:paraId="4E2D345B" w14:textId="369AD61D" w:rsidR="006D79BB" w:rsidRPr="001613EA" w:rsidRDefault="004D15AB">
      <w:pPr>
        <w:rPr>
          <w:highlight w:val="yellow"/>
        </w:rPr>
      </w:pPr>
      <w:r>
        <w:t>A comprehensive p</w:t>
      </w:r>
      <w:r w:rsidR="00662F19" w:rsidRPr="00FE032B">
        <w:t>ost-</w:t>
      </w:r>
      <w:r>
        <w:t>l</w:t>
      </w:r>
      <w:r w:rsidR="00662F19" w:rsidRPr="00FE032B">
        <w:t xml:space="preserve">eave </w:t>
      </w:r>
      <w:r>
        <w:t>r</w:t>
      </w:r>
      <w:r w:rsidR="00662F19" w:rsidRPr="00FE032B">
        <w:t xml:space="preserve">eport </w:t>
      </w:r>
      <w:r>
        <w:t xml:space="preserve">is </w:t>
      </w:r>
      <w:r w:rsidR="00662F19" w:rsidRPr="00FE032B">
        <w:t xml:space="preserve">due within 30 days </w:t>
      </w:r>
      <w:r>
        <w:t xml:space="preserve">after </w:t>
      </w:r>
      <w:r w:rsidR="00662F19" w:rsidRPr="00FE032B">
        <w:t>return</w:t>
      </w:r>
      <w:r>
        <w:t>ing from sabbatical leave</w:t>
      </w:r>
      <w:r w:rsidR="00A2567A">
        <w:t xml:space="preserve"> </w:t>
      </w:r>
      <w:r w:rsidR="00480D49" w:rsidRPr="00FE032B">
        <w:t xml:space="preserve">(see Rule AA-1, </w:t>
      </w:r>
      <w:r w:rsidR="00480D49" w:rsidRPr="00FE032B">
        <w:rPr>
          <w:rFonts w:cstheme="majorHAnsi"/>
        </w:rPr>
        <w:t>§</w:t>
      </w:r>
      <w:r w:rsidR="00480D49" w:rsidRPr="00FE032B">
        <w:t xml:space="preserve">6.4 for </w:t>
      </w:r>
      <w:r w:rsidR="00480D49">
        <w:t>the required</w:t>
      </w:r>
      <w:r w:rsidR="00480D49" w:rsidRPr="00FE032B">
        <w:t xml:space="preserve"> recipient list</w:t>
      </w:r>
      <w:r w:rsidR="00A2567A">
        <w:t>)</w:t>
      </w:r>
      <w:r>
        <w:t xml:space="preserve">.  The report must </w:t>
      </w:r>
      <w:r w:rsidRPr="00FE032B">
        <w:t>include</w:t>
      </w:r>
      <w:r>
        <w:t xml:space="preserve"> a </w:t>
      </w:r>
      <w:r w:rsidR="00662F19" w:rsidRPr="00FE032B">
        <w:t>narrative, outcomes, evidence, and reflections</w:t>
      </w:r>
      <w:r>
        <w:t>. A</w:t>
      </w:r>
      <w:r w:rsidR="00662F19" w:rsidRPr="00FE032B">
        <w:t>rtifacts/evidence (e.g., manuscripts, curricula, datasets, grant documents)</w:t>
      </w:r>
      <w:r>
        <w:t xml:space="preserve"> should be appended to the report.</w:t>
      </w:r>
      <w:r w:rsidR="00662F19" w:rsidRPr="00FE032B">
        <w:t xml:space="preserve"> </w:t>
      </w:r>
      <w:r>
        <w:t>During the first semester after returning from sabbatical leave, the faculty member must make a p</w:t>
      </w:r>
      <w:r w:rsidR="00662F19" w:rsidRPr="00FE032B">
        <w:t>resentation to the LCOB</w:t>
      </w:r>
      <w:r>
        <w:t xml:space="preserve"> community</w:t>
      </w:r>
      <w:r w:rsidR="00662F19" w:rsidRPr="00FE032B">
        <w:t xml:space="preserve">. </w:t>
      </w:r>
      <w:r>
        <w:t>The c</w:t>
      </w:r>
      <w:r w:rsidR="00662F19" w:rsidRPr="00FE032B">
        <w:t xml:space="preserve">ollege dean </w:t>
      </w:r>
      <w:r>
        <w:t>evaluates the</w:t>
      </w:r>
      <w:r w:rsidR="00662F19" w:rsidRPr="00FE032B">
        <w:t xml:space="preserve"> report using the Post-Leave Report Scoring Rubric</w:t>
      </w:r>
      <w:r w:rsidR="00E53CEB" w:rsidRPr="00FE032B">
        <w:t xml:space="preserve"> (see </w:t>
      </w:r>
      <w:r w:rsidR="00C56B47">
        <w:t>P</w:t>
      </w:r>
      <w:r w:rsidR="00E53CEB" w:rsidRPr="00FE032B">
        <w:t>age 3</w:t>
      </w:r>
      <w:r w:rsidR="00C56B47">
        <w:t xml:space="preserve"> of</w:t>
      </w:r>
      <w:r w:rsidR="00E53CEB" w:rsidRPr="00FE032B">
        <w:t xml:space="preserve"> this document), </w:t>
      </w:r>
      <w:r w:rsidR="00662F19" w:rsidRPr="00FE032B">
        <w:t xml:space="preserve">issues </w:t>
      </w:r>
      <w:r w:rsidR="00E53CEB" w:rsidRPr="00FE032B">
        <w:t>comments,</w:t>
      </w:r>
      <w:r w:rsidR="00662F19" w:rsidRPr="00FE032B">
        <w:t xml:space="preserve"> and numeric score</w:t>
      </w:r>
      <w:r w:rsidR="00662F19" w:rsidRPr="002C7778">
        <w:t>.</w:t>
      </w:r>
      <w:r w:rsidR="00E3797A" w:rsidRPr="002C7778">
        <w:t xml:space="preserve"> </w:t>
      </w:r>
      <w:r w:rsidR="001613EA" w:rsidRPr="002C7778">
        <w:t>If a faculty member returning from sabbatical leave receives an unsatisfactory evaluation from the dean or fails to complete the post-leave report, any future sabbatical leave requests from that faculty member will be denied.</w:t>
      </w:r>
      <w:r w:rsidR="00E3797A">
        <w:t xml:space="preserve"> </w:t>
      </w:r>
      <w:r w:rsidR="009C3AC8" w:rsidRPr="00FE032B">
        <w:br w:type="page"/>
      </w:r>
    </w:p>
    <w:p w14:paraId="3DE768E5" w14:textId="1B6A99F8" w:rsidR="006D79BB" w:rsidRDefault="009C3AC8">
      <w:pPr>
        <w:pStyle w:val="Heading1"/>
      </w:pPr>
      <w:r>
        <w:lastRenderedPageBreak/>
        <w:t>Application Scoring Rubric</w:t>
      </w:r>
      <w:r w:rsidR="00575AEB">
        <w:t xml:space="preserve"> for Reviewers</w:t>
      </w:r>
    </w:p>
    <w:p w14:paraId="71AFFE44" w14:textId="63A177D0" w:rsidR="006D79BB" w:rsidRDefault="006D79BB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5220"/>
        <w:gridCol w:w="2520"/>
      </w:tblGrid>
      <w:tr w:rsidR="006D79BB" w14:paraId="43002194" w14:textId="77777777" w:rsidTr="00662F19">
        <w:tc>
          <w:tcPr>
            <w:tcW w:w="3055" w:type="dxa"/>
          </w:tcPr>
          <w:p w14:paraId="07BA782F" w14:textId="77777777" w:rsidR="006D79BB" w:rsidRDefault="009C3AC8" w:rsidP="007431BA">
            <w:pPr>
              <w:spacing w:after="0"/>
            </w:pPr>
            <w:r>
              <w:t>Criterion</w:t>
            </w:r>
          </w:p>
        </w:tc>
        <w:tc>
          <w:tcPr>
            <w:tcW w:w="5220" w:type="dxa"/>
          </w:tcPr>
          <w:p w14:paraId="17A151C2" w14:textId="77777777" w:rsidR="006D79BB" w:rsidRDefault="009C3AC8" w:rsidP="007431BA">
            <w:pPr>
              <w:spacing w:after="0"/>
            </w:pPr>
            <w:r>
              <w:t>Descriptors</w:t>
            </w:r>
          </w:p>
        </w:tc>
        <w:tc>
          <w:tcPr>
            <w:tcW w:w="2520" w:type="dxa"/>
          </w:tcPr>
          <w:p w14:paraId="22CA392C" w14:textId="6F48BC8F" w:rsidR="006D79BB" w:rsidRDefault="009C3AC8" w:rsidP="007431BA">
            <w:pPr>
              <w:spacing w:after="0"/>
            </w:pPr>
            <w:r>
              <w:t>Points</w:t>
            </w:r>
            <w:r w:rsidR="00CD588F">
              <w:t xml:space="preserve"> 0 to 4 (4 highest)</w:t>
            </w:r>
          </w:p>
        </w:tc>
      </w:tr>
      <w:tr w:rsidR="006D79BB" w14:paraId="1EFAE214" w14:textId="77777777" w:rsidTr="00662F19">
        <w:tc>
          <w:tcPr>
            <w:tcW w:w="3055" w:type="dxa"/>
            <w:vAlign w:val="center"/>
          </w:tcPr>
          <w:p w14:paraId="77150760" w14:textId="77777777" w:rsidR="006D79BB" w:rsidRDefault="009C3AC8" w:rsidP="007431BA">
            <w:pPr>
              <w:spacing w:after="0"/>
            </w:pPr>
            <w:r>
              <w:t>A. Purpose &amp; Significance</w:t>
            </w:r>
          </w:p>
        </w:tc>
        <w:tc>
          <w:tcPr>
            <w:tcW w:w="5220" w:type="dxa"/>
            <w:vAlign w:val="center"/>
          </w:tcPr>
          <w:p w14:paraId="7CC8DB31" w14:textId="1EEBA4F8" w:rsidR="006D79BB" w:rsidRDefault="009C3AC8" w:rsidP="007431BA">
            <w:pPr>
              <w:spacing w:after="0"/>
            </w:pPr>
            <w:r>
              <w:t>Clarity of goals; alignment with department/college/institutional priorities; contribution to field/teaching/student success</w:t>
            </w:r>
          </w:p>
        </w:tc>
        <w:tc>
          <w:tcPr>
            <w:tcW w:w="2520" w:type="dxa"/>
          </w:tcPr>
          <w:p w14:paraId="408DE79A" w14:textId="1959DB57" w:rsidR="006D79BB" w:rsidRDefault="006D79BB" w:rsidP="007431BA">
            <w:pPr>
              <w:spacing w:after="0"/>
            </w:pPr>
          </w:p>
        </w:tc>
      </w:tr>
      <w:tr w:rsidR="006D79BB" w14:paraId="63E07B8D" w14:textId="77777777" w:rsidTr="00662F19">
        <w:tc>
          <w:tcPr>
            <w:tcW w:w="3055" w:type="dxa"/>
            <w:vAlign w:val="center"/>
          </w:tcPr>
          <w:p w14:paraId="19BFD8A8" w14:textId="24012E14" w:rsidR="006D79BB" w:rsidRDefault="009C3AC8" w:rsidP="00C93D41">
            <w:pPr>
              <w:spacing w:after="0"/>
              <w:ind w:left="288" w:hanging="288"/>
            </w:pPr>
            <w:r>
              <w:t xml:space="preserve">B. </w:t>
            </w:r>
            <w:r w:rsidR="00981060">
              <w:t>D</w:t>
            </w:r>
            <w:r w:rsidR="00CD588F">
              <w:t>escription of Sabbatical Leave Activities</w:t>
            </w:r>
          </w:p>
        </w:tc>
        <w:tc>
          <w:tcPr>
            <w:tcW w:w="5220" w:type="dxa"/>
            <w:vAlign w:val="center"/>
          </w:tcPr>
          <w:p w14:paraId="6FE77221" w14:textId="27C4D75E" w:rsidR="006D79BB" w:rsidRDefault="00CD588F" w:rsidP="007431BA">
            <w:pPr>
              <w:spacing w:after="0"/>
            </w:pPr>
            <w:r>
              <w:t>M</w:t>
            </w:r>
            <w:r w:rsidR="009C3AC8">
              <w:t>ethods/activities; feasible timeline</w:t>
            </w:r>
          </w:p>
        </w:tc>
        <w:tc>
          <w:tcPr>
            <w:tcW w:w="2520" w:type="dxa"/>
          </w:tcPr>
          <w:p w14:paraId="1D1258AC" w14:textId="2740474A" w:rsidR="006D79BB" w:rsidRDefault="006D79BB" w:rsidP="007431BA">
            <w:pPr>
              <w:spacing w:after="0"/>
            </w:pPr>
          </w:p>
        </w:tc>
      </w:tr>
      <w:tr w:rsidR="006D79BB" w14:paraId="129701C5" w14:textId="77777777" w:rsidTr="00E679C2">
        <w:trPr>
          <w:trHeight w:val="576"/>
        </w:trPr>
        <w:tc>
          <w:tcPr>
            <w:tcW w:w="3055" w:type="dxa"/>
            <w:vAlign w:val="center"/>
          </w:tcPr>
          <w:p w14:paraId="35F0AB7C" w14:textId="2443E796" w:rsidR="006D79BB" w:rsidRDefault="009C3AC8" w:rsidP="007431BA">
            <w:pPr>
              <w:spacing w:after="0"/>
            </w:pPr>
            <w:r>
              <w:t xml:space="preserve">C. </w:t>
            </w:r>
            <w:r w:rsidR="007431BA">
              <w:t xml:space="preserve">Expected </w:t>
            </w:r>
            <w:r>
              <w:t>Outcomes</w:t>
            </w:r>
          </w:p>
        </w:tc>
        <w:tc>
          <w:tcPr>
            <w:tcW w:w="5220" w:type="dxa"/>
            <w:vAlign w:val="center"/>
          </w:tcPr>
          <w:p w14:paraId="6CEF9706" w14:textId="4C53313F" w:rsidR="006D79BB" w:rsidRDefault="009C3AC8" w:rsidP="007431BA">
            <w:pPr>
              <w:spacing w:after="0"/>
            </w:pPr>
            <w:r>
              <w:t>Specific, measurable deliverables</w:t>
            </w:r>
          </w:p>
        </w:tc>
        <w:tc>
          <w:tcPr>
            <w:tcW w:w="2520" w:type="dxa"/>
          </w:tcPr>
          <w:p w14:paraId="3E81BF5C" w14:textId="67FB9B93" w:rsidR="006D79BB" w:rsidRDefault="006D79BB" w:rsidP="007431BA">
            <w:pPr>
              <w:spacing w:after="0"/>
            </w:pPr>
          </w:p>
        </w:tc>
      </w:tr>
      <w:tr w:rsidR="006D79BB" w14:paraId="3552E642" w14:textId="77777777" w:rsidTr="00662F19">
        <w:tc>
          <w:tcPr>
            <w:tcW w:w="3055" w:type="dxa"/>
            <w:vAlign w:val="center"/>
          </w:tcPr>
          <w:p w14:paraId="462B91C5" w14:textId="77777777" w:rsidR="006D79BB" w:rsidRDefault="009C3AC8" w:rsidP="007431BA">
            <w:pPr>
              <w:spacing w:after="0"/>
            </w:pPr>
            <w:r>
              <w:t>D. Impact &amp; Dissemination</w:t>
            </w:r>
          </w:p>
        </w:tc>
        <w:tc>
          <w:tcPr>
            <w:tcW w:w="5220" w:type="dxa"/>
            <w:vAlign w:val="center"/>
          </w:tcPr>
          <w:p w14:paraId="10841D0B" w14:textId="661B0B0C" w:rsidR="006D79BB" w:rsidRDefault="009C3AC8" w:rsidP="007431BA">
            <w:pPr>
              <w:spacing w:after="0"/>
            </w:pPr>
            <w:r>
              <w:t>Potential scholarly/teaching</w:t>
            </w:r>
            <w:r w:rsidR="00CD588F">
              <w:t xml:space="preserve"> / </w:t>
            </w:r>
            <w:r>
              <w:t>student/community impact; dissemination plan</w:t>
            </w:r>
          </w:p>
        </w:tc>
        <w:tc>
          <w:tcPr>
            <w:tcW w:w="2520" w:type="dxa"/>
          </w:tcPr>
          <w:p w14:paraId="375AE6BE" w14:textId="3A8C515C" w:rsidR="006D79BB" w:rsidRDefault="006D79BB" w:rsidP="007431BA">
            <w:pPr>
              <w:spacing w:after="0"/>
            </w:pPr>
          </w:p>
        </w:tc>
      </w:tr>
      <w:tr w:rsidR="00C01014" w14:paraId="64E3C369" w14:textId="77777777" w:rsidTr="00E679C2">
        <w:trPr>
          <w:trHeight w:val="576"/>
        </w:trPr>
        <w:tc>
          <w:tcPr>
            <w:tcW w:w="3055" w:type="dxa"/>
          </w:tcPr>
          <w:p w14:paraId="1F085AA7" w14:textId="77777777" w:rsidR="00C01014" w:rsidRDefault="00C01014" w:rsidP="00C01014">
            <w:pPr>
              <w:spacing w:after="0"/>
            </w:pPr>
          </w:p>
        </w:tc>
        <w:tc>
          <w:tcPr>
            <w:tcW w:w="5220" w:type="dxa"/>
            <w:vAlign w:val="center"/>
          </w:tcPr>
          <w:p w14:paraId="1E8A72AA" w14:textId="4848A672" w:rsidR="00C01014" w:rsidRDefault="00CD588F" w:rsidP="00E679C2">
            <w:pPr>
              <w:spacing w:after="0"/>
              <w:jc w:val="right"/>
            </w:pPr>
            <w:r>
              <w:t>Total points:</w:t>
            </w:r>
          </w:p>
        </w:tc>
        <w:tc>
          <w:tcPr>
            <w:tcW w:w="2520" w:type="dxa"/>
          </w:tcPr>
          <w:p w14:paraId="405DADDD" w14:textId="77777777" w:rsidR="00C01014" w:rsidRDefault="00C01014" w:rsidP="00C01014">
            <w:pPr>
              <w:spacing w:after="0"/>
            </w:pPr>
          </w:p>
        </w:tc>
      </w:tr>
      <w:tr w:rsidR="007431BA" w14:paraId="504E8341" w14:textId="77777777" w:rsidTr="00662F19">
        <w:trPr>
          <w:trHeight w:val="575"/>
        </w:trPr>
        <w:tc>
          <w:tcPr>
            <w:tcW w:w="3055" w:type="dxa"/>
            <w:vAlign w:val="center"/>
          </w:tcPr>
          <w:p w14:paraId="6F8DA697" w14:textId="160EFB7C" w:rsidR="007431BA" w:rsidRDefault="007431BA" w:rsidP="007431BA">
            <w:pPr>
              <w:spacing w:after="0"/>
            </w:pPr>
            <w:r>
              <w:t>Reviewer Name</w:t>
            </w:r>
            <w:r w:rsidR="00981060">
              <w:t>:</w:t>
            </w:r>
          </w:p>
        </w:tc>
        <w:tc>
          <w:tcPr>
            <w:tcW w:w="5220" w:type="dxa"/>
            <w:vAlign w:val="center"/>
          </w:tcPr>
          <w:p w14:paraId="283CF295" w14:textId="77777777" w:rsidR="007431BA" w:rsidRDefault="007431BA" w:rsidP="007431BA">
            <w:pPr>
              <w:spacing w:after="0"/>
            </w:pPr>
          </w:p>
        </w:tc>
        <w:tc>
          <w:tcPr>
            <w:tcW w:w="2520" w:type="dxa"/>
            <w:vAlign w:val="center"/>
          </w:tcPr>
          <w:p w14:paraId="4532FE31" w14:textId="77777777" w:rsidR="007431BA" w:rsidRDefault="007431BA" w:rsidP="007431BA">
            <w:pPr>
              <w:spacing w:after="0"/>
            </w:pPr>
          </w:p>
        </w:tc>
      </w:tr>
      <w:tr w:rsidR="007431BA" w14:paraId="08FA829A" w14:textId="77777777" w:rsidTr="00662F19">
        <w:trPr>
          <w:trHeight w:val="791"/>
        </w:trPr>
        <w:tc>
          <w:tcPr>
            <w:tcW w:w="3055" w:type="dxa"/>
            <w:vAlign w:val="center"/>
          </w:tcPr>
          <w:p w14:paraId="05CBB2D5" w14:textId="57D28CBA" w:rsidR="007431BA" w:rsidRDefault="007431BA" w:rsidP="007431BA">
            <w:pPr>
              <w:spacing w:after="0"/>
            </w:pPr>
            <w:r>
              <w:t>Signature</w:t>
            </w:r>
            <w:r w:rsidR="00981060">
              <w:t>:</w:t>
            </w:r>
          </w:p>
        </w:tc>
        <w:tc>
          <w:tcPr>
            <w:tcW w:w="5220" w:type="dxa"/>
            <w:vAlign w:val="center"/>
          </w:tcPr>
          <w:p w14:paraId="7298470E" w14:textId="77777777" w:rsidR="007431BA" w:rsidRDefault="007431BA" w:rsidP="007431BA">
            <w:pPr>
              <w:spacing w:after="0"/>
            </w:pPr>
          </w:p>
        </w:tc>
        <w:tc>
          <w:tcPr>
            <w:tcW w:w="2520" w:type="dxa"/>
            <w:vAlign w:val="center"/>
          </w:tcPr>
          <w:p w14:paraId="56EACE55" w14:textId="77777777" w:rsidR="007431BA" w:rsidRDefault="007431BA" w:rsidP="007431BA">
            <w:pPr>
              <w:spacing w:after="0"/>
            </w:pPr>
          </w:p>
        </w:tc>
      </w:tr>
      <w:tr w:rsidR="00981060" w14:paraId="10F7526C" w14:textId="77777777" w:rsidTr="00662F19">
        <w:trPr>
          <w:trHeight w:val="791"/>
        </w:trPr>
        <w:tc>
          <w:tcPr>
            <w:tcW w:w="3055" w:type="dxa"/>
            <w:vAlign w:val="center"/>
          </w:tcPr>
          <w:p w14:paraId="18CCE286" w14:textId="514B0B5B" w:rsidR="00981060" w:rsidRDefault="00981060" w:rsidP="007431BA">
            <w:pPr>
              <w:spacing w:after="0"/>
            </w:pPr>
            <w:r>
              <w:t>Date:</w:t>
            </w:r>
          </w:p>
        </w:tc>
        <w:tc>
          <w:tcPr>
            <w:tcW w:w="5220" w:type="dxa"/>
            <w:vAlign w:val="center"/>
          </w:tcPr>
          <w:p w14:paraId="071AFABC" w14:textId="77777777" w:rsidR="00981060" w:rsidRDefault="00981060" w:rsidP="007431BA">
            <w:pPr>
              <w:spacing w:after="0"/>
            </w:pPr>
          </w:p>
        </w:tc>
        <w:tc>
          <w:tcPr>
            <w:tcW w:w="2520" w:type="dxa"/>
            <w:vAlign w:val="center"/>
          </w:tcPr>
          <w:p w14:paraId="3111BFC9" w14:textId="77777777" w:rsidR="00981060" w:rsidRDefault="00981060" w:rsidP="007431BA">
            <w:pPr>
              <w:spacing w:after="0"/>
            </w:pPr>
          </w:p>
        </w:tc>
      </w:tr>
    </w:tbl>
    <w:tbl>
      <w:tblPr>
        <w:tblStyle w:val="TableGrid"/>
        <w:tblW w:w="10806" w:type="dxa"/>
        <w:tblLook w:val="04A0" w:firstRow="1" w:lastRow="0" w:firstColumn="1" w:lastColumn="0" w:noHBand="0" w:noVBand="1"/>
      </w:tblPr>
      <w:tblGrid>
        <w:gridCol w:w="10806"/>
      </w:tblGrid>
      <w:tr w:rsidR="00E7739E" w14:paraId="6257D0F1" w14:textId="77777777" w:rsidTr="00981060">
        <w:trPr>
          <w:trHeight w:val="4679"/>
        </w:trPr>
        <w:tc>
          <w:tcPr>
            <w:tcW w:w="10806" w:type="dxa"/>
          </w:tcPr>
          <w:p w14:paraId="193E9884" w14:textId="77777777" w:rsidR="00E7739E" w:rsidRDefault="00E7739E" w:rsidP="00051367">
            <w:r>
              <w:t>Reviewer comments:</w:t>
            </w:r>
          </w:p>
          <w:p w14:paraId="116DBFDF" w14:textId="77777777" w:rsidR="00E7739E" w:rsidRDefault="00E7739E" w:rsidP="00051367"/>
          <w:p w14:paraId="3A667F2A" w14:textId="77777777" w:rsidR="00E7739E" w:rsidRDefault="00E7739E" w:rsidP="00051367"/>
          <w:p w14:paraId="09294E18" w14:textId="77777777" w:rsidR="00E7739E" w:rsidRDefault="00E7739E" w:rsidP="00051367"/>
          <w:p w14:paraId="10A5AE69" w14:textId="77777777" w:rsidR="00E7739E" w:rsidRDefault="00E7739E" w:rsidP="00051367"/>
          <w:p w14:paraId="72E86F0A" w14:textId="77777777" w:rsidR="00E7739E" w:rsidRDefault="00E7739E" w:rsidP="00FA550D"/>
          <w:p w14:paraId="59F8D84E" w14:textId="77777777" w:rsidR="00E7739E" w:rsidRDefault="00E7739E" w:rsidP="00051367"/>
          <w:p w14:paraId="3265C123" w14:textId="77777777" w:rsidR="00C47B21" w:rsidRDefault="00C47B21" w:rsidP="00051367"/>
          <w:p w14:paraId="3A8F03F9" w14:textId="77777777" w:rsidR="00E7739E" w:rsidRDefault="00E7739E" w:rsidP="00051367"/>
          <w:p w14:paraId="1B9846EB" w14:textId="77777777" w:rsidR="00E7739E" w:rsidRDefault="00E7739E" w:rsidP="00051367"/>
          <w:p w14:paraId="3BE56895" w14:textId="77777777" w:rsidR="00E7739E" w:rsidRDefault="00E7739E" w:rsidP="00051367"/>
          <w:p w14:paraId="6AE9F358" w14:textId="77777777" w:rsidR="00E7739E" w:rsidRDefault="00E7739E" w:rsidP="00051367"/>
          <w:p w14:paraId="2C29614B" w14:textId="77777777" w:rsidR="00E7739E" w:rsidRDefault="00E7739E" w:rsidP="00051367"/>
          <w:p w14:paraId="4A864A7E" w14:textId="77777777" w:rsidR="00E7739E" w:rsidRDefault="00E7739E" w:rsidP="00051367"/>
          <w:p w14:paraId="1CE4B238" w14:textId="77777777" w:rsidR="00E7739E" w:rsidRDefault="00E7739E" w:rsidP="00051367"/>
          <w:p w14:paraId="0C95DE25" w14:textId="77777777" w:rsidR="00E7739E" w:rsidRDefault="00E7739E" w:rsidP="00051367"/>
          <w:p w14:paraId="6C77F613" w14:textId="77777777" w:rsidR="00E7739E" w:rsidRDefault="00E7739E" w:rsidP="00051367"/>
          <w:p w14:paraId="51281F6D" w14:textId="77777777" w:rsidR="00E7739E" w:rsidRDefault="00E7739E" w:rsidP="00051367"/>
          <w:p w14:paraId="0B4A816D" w14:textId="77777777" w:rsidR="00E7739E" w:rsidRDefault="00E7739E" w:rsidP="00051367"/>
          <w:p w14:paraId="4453EA7F" w14:textId="77777777" w:rsidR="00E7739E" w:rsidRDefault="00E7739E" w:rsidP="00051367"/>
        </w:tc>
      </w:tr>
    </w:tbl>
    <w:p w14:paraId="2203E08E" w14:textId="77777777" w:rsidR="00E7739E" w:rsidRDefault="00E7739E"/>
    <w:p w14:paraId="35560C7E" w14:textId="77777777" w:rsidR="00E7739E" w:rsidRDefault="00E7739E"/>
    <w:p w14:paraId="3DABCB97" w14:textId="09CA6A20" w:rsidR="002A7BC7" w:rsidRDefault="002A7B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140B16" w14:textId="01A50D3F" w:rsidR="006D79BB" w:rsidRDefault="009C3AC8">
      <w:pPr>
        <w:pStyle w:val="Heading1"/>
      </w:pPr>
      <w:r>
        <w:lastRenderedPageBreak/>
        <w:t>Post-Leave Report Scoring Rubric</w:t>
      </w:r>
      <w:r w:rsidR="00575AEB">
        <w:t xml:space="preserve"> </w:t>
      </w:r>
    </w:p>
    <w:p w14:paraId="6C9D5DE3" w14:textId="77777777" w:rsidR="00662F19" w:rsidRPr="00662F19" w:rsidRDefault="00662F19" w:rsidP="00662F19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4295"/>
        <w:gridCol w:w="3690"/>
      </w:tblGrid>
      <w:tr w:rsidR="006D79BB" w14:paraId="1EA5B345" w14:textId="77777777" w:rsidTr="00E7739E">
        <w:tc>
          <w:tcPr>
            <w:tcW w:w="2810" w:type="dxa"/>
          </w:tcPr>
          <w:p w14:paraId="4974B941" w14:textId="77777777" w:rsidR="006D79BB" w:rsidRDefault="009C3AC8">
            <w:r>
              <w:t>Criterion</w:t>
            </w:r>
          </w:p>
        </w:tc>
        <w:tc>
          <w:tcPr>
            <w:tcW w:w="4295" w:type="dxa"/>
          </w:tcPr>
          <w:p w14:paraId="1DF3D525" w14:textId="77777777" w:rsidR="006D79BB" w:rsidRDefault="009C3AC8">
            <w:r>
              <w:t>Descriptors</w:t>
            </w:r>
          </w:p>
        </w:tc>
        <w:tc>
          <w:tcPr>
            <w:tcW w:w="3690" w:type="dxa"/>
          </w:tcPr>
          <w:p w14:paraId="2E44C0D0" w14:textId="23BBF60E" w:rsidR="006D79BB" w:rsidRDefault="009C3AC8">
            <w:r>
              <w:t>Points</w:t>
            </w:r>
            <w:r w:rsidR="005C4AC4">
              <w:t xml:space="preserve"> (0 – 4, 4 highest)</w:t>
            </w:r>
          </w:p>
        </w:tc>
      </w:tr>
      <w:tr w:rsidR="006D79BB" w14:paraId="1C6B517E" w14:textId="77777777" w:rsidTr="00D0437F">
        <w:tc>
          <w:tcPr>
            <w:tcW w:w="2810" w:type="dxa"/>
            <w:vAlign w:val="center"/>
          </w:tcPr>
          <w:p w14:paraId="55DB3163" w14:textId="77777777" w:rsidR="006D79BB" w:rsidRDefault="009C3AC8" w:rsidP="00D54D47">
            <w:pPr>
              <w:spacing w:after="0" w:line="240" w:lineRule="auto"/>
            </w:pPr>
            <w:r>
              <w:t>A. Goals Attainment</w:t>
            </w:r>
          </w:p>
        </w:tc>
        <w:tc>
          <w:tcPr>
            <w:tcW w:w="4295" w:type="dxa"/>
            <w:vAlign w:val="center"/>
          </w:tcPr>
          <w:p w14:paraId="55027C34" w14:textId="5F9EECF8" w:rsidR="006D79BB" w:rsidRDefault="009C3AC8" w:rsidP="00D54D47">
            <w:pPr>
              <w:spacing w:after="0" w:line="240" w:lineRule="auto"/>
            </w:pPr>
            <w:r>
              <w:t>Extent to which stated goals were met; justified adaptations; evidence supports claims</w:t>
            </w:r>
          </w:p>
        </w:tc>
        <w:tc>
          <w:tcPr>
            <w:tcW w:w="3690" w:type="dxa"/>
          </w:tcPr>
          <w:p w14:paraId="5B63BD8B" w14:textId="7CDB4EFA" w:rsidR="006D79BB" w:rsidRDefault="006D79BB" w:rsidP="00D54D47">
            <w:pPr>
              <w:spacing w:after="0" w:line="240" w:lineRule="auto"/>
            </w:pPr>
          </w:p>
        </w:tc>
      </w:tr>
      <w:tr w:rsidR="006D79BB" w14:paraId="24D89721" w14:textId="77777777" w:rsidTr="00D0437F">
        <w:tc>
          <w:tcPr>
            <w:tcW w:w="2810" w:type="dxa"/>
            <w:vAlign w:val="center"/>
          </w:tcPr>
          <w:p w14:paraId="5C221A00" w14:textId="77777777" w:rsidR="006D79BB" w:rsidRDefault="009C3AC8" w:rsidP="00D54D47">
            <w:pPr>
              <w:spacing w:after="0" w:line="240" w:lineRule="auto"/>
            </w:pPr>
            <w:r>
              <w:t>B. Outputs &amp; Deliverables</w:t>
            </w:r>
          </w:p>
        </w:tc>
        <w:tc>
          <w:tcPr>
            <w:tcW w:w="4295" w:type="dxa"/>
            <w:vAlign w:val="center"/>
          </w:tcPr>
          <w:p w14:paraId="234C59ED" w14:textId="6EF5C600" w:rsidR="005C4AC4" w:rsidRDefault="009C3AC8" w:rsidP="00D54D47">
            <w:pPr>
              <w:spacing w:after="0" w:line="240" w:lineRule="auto"/>
            </w:pPr>
            <w:r>
              <w:t>Quantity/quality of products (publications, grants, curricula, prototypes).</w:t>
            </w:r>
            <w:r w:rsidR="005C4AC4">
              <w:t xml:space="preserve"> Timeliness; completeness; adherence to policies; return-to-service fulfilled</w:t>
            </w:r>
          </w:p>
        </w:tc>
        <w:tc>
          <w:tcPr>
            <w:tcW w:w="3690" w:type="dxa"/>
          </w:tcPr>
          <w:p w14:paraId="4322B077" w14:textId="0471C024" w:rsidR="006D79BB" w:rsidRDefault="006D79BB" w:rsidP="00D54D47">
            <w:pPr>
              <w:spacing w:after="0" w:line="240" w:lineRule="auto"/>
            </w:pPr>
          </w:p>
        </w:tc>
      </w:tr>
      <w:tr w:rsidR="006D79BB" w14:paraId="39D53D48" w14:textId="77777777" w:rsidTr="00D0437F">
        <w:tc>
          <w:tcPr>
            <w:tcW w:w="2810" w:type="dxa"/>
            <w:vAlign w:val="center"/>
          </w:tcPr>
          <w:p w14:paraId="242A94EC" w14:textId="77777777" w:rsidR="006D79BB" w:rsidRDefault="009C3AC8" w:rsidP="00D54D47">
            <w:pPr>
              <w:spacing w:after="0" w:line="240" w:lineRule="auto"/>
            </w:pPr>
            <w:r>
              <w:t>C. Outcomes &amp; Impact</w:t>
            </w:r>
          </w:p>
        </w:tc>
        <w:tc>
          <w:tcPr>
            <w:tcW w:w="4295" w:type="dxa"/>
            <w:vAlign w:val="center"/>
          </w:tcPr>
          <w:p w14:paraId="109FE399" w14:textId="65B9DB05" w:rsidR="006D79BB" w:rsidRDefault="00662F19" w:rsidP="00D54D47">
            <w:pPr>
              <w:spacing w:after="0" w:line="240" w:lineRule="auto"/>
            </w:pPr>
            <w:r>
              <w:t xml:space="preserve">Documentation on anticipated </w:t>
            </w:r>
            <w:r w:rsidR="009C3AC8">
              <w:t>impact</w:t>
            </w:r>
            <w:r>
              <w:t>(s)</w:t>
            </w:r>
            <w:r w:rsidR="009C3AC8">
              <w:t xml:space="preserve"> on scholarship/teaching/student success/community; qualitative and quantitative indicators</w:t>
            </w:r>
          </w:p>
        </w:tc>
        <w:tc>
          <w:tcPr>
            <w:tcW w:w="3690" w:type="dxa"/>
          </w:tcPr>
          <w:p w14:paraId="60EB3175" w14:textId="1AE4C72C" w:rsidR="006D79BB" w:rsidRDefault="006D79BB" w:rsidP="00D54D47">
            <w:pPr>
              <w:spacing w:after="0" w:line="240" w:lineRule="auto"/>
            </w:pPr>
          </w:p>
        </w:tc>
      </w:tr>
      <w:tr w:rsidR="006D79BB" w14:paraId="4548D82D" w14:textId="77777777" w:rsidTr="00D0437F">
        <w:tc>
          <w:tcPr>
            <w:tcW w:w="2810" w:type="dxa"/>
            <w:vAlign w:val="center"/>
          </w:tcPr>
          <w:p w14:paraId="449CBC96" w14:textId="77777777" w:rsidR="006D79BB" w:rsidRDefault="009C3AC8" w:rsidP="00D54D47">
            <w:pPr>
              <w:spacing w:after="0" w:line="240" w:lineRule="auto"/>
            </w:pPr>
            <w:r>
              <w:t>D. Reflection &amp; Learning</w:t>
            </w:r>
          </w:p>
        </w:tc>
        <w:tc>
          <w:tcPr>
            <w:tcW w:w="4295" w:type="dxa"/>
            <w:vAlign w:val="center"/>
          </w:tcPr>
          <w:p w14:paraId="4BFBA0A1" w14:textId="261433BF" w:rsidR="006D79BB" w:rsidRDefault="009C3AC8" w:rsidP="00D54D47">
            <w:pPr>
              <w:spacing w:after="0" w:line="240" w:lineRule="auto"/>
            </w:pPr>
            <w:r>
              <w:t>Critical reflection on successes, challenges, and future directions; dissemination within college</w:t>
            </w:r>
          </w:p>
        </w:tc>
        <w:tc>
          <w:tcPr>
            <w:tcW w:w="3690" w:type="dxa"/>
          </w:tcPr>
          <w:p w14:paraId="0F4E2E09" w14:textId="55B9AF43" w:rsidR="006D79BB" w:rsidRDefault="006D79BB" w:rsidP="00D54D47">
            <w:pPr>
              <w:spacing w:after="0" w:line="240" w:lineRule="auto"/>
            </w:pPr>
          </w:p>
        </w:tc>
      </w:tr>
      <w:tr w:rsidR="005C4AC4" w14:paraId="4C890F66" w14:textId="77777777" w:rsidTr="00D0437F">
        <w:tc>
          <w:tcPr>
            <w:tcW w:w="2810" w:type="dxa"/>
            <w:vAlign w:val="center"/>
          </w:tcPr>
          <w:p w14:paraId="0336A982" w14:textId="1E433164" w:rsidR="005C4AC4" w:rsidRDefault="005C4AC4" w:rsidP="00D54D47">
            <w:pPr>
              <w:spacing w:after="0" w:line="240" w:lineRule="auto"/>
            </w:pPr>
            <w:r>
              <w:t>E. Presentation to the LCOB</w:t>
            </w:r>
            <w:r w:rsidR="00D0437F">
              <w:t xml:space="preserve"> </w:t>
            </w:r>
          </w:p>
        </w:tc>
        <w:tc>
          <w:tcPr>
            <w:tcW w:w="4295" w:type="dxa"/>
            <w:vAlign w:val="center"/>
          </w:tcPr>
          <w:p w14:paraId="63117FB2" w14:textId="7BB9B898" w:rsidR="005C4AC4" w:rsidRDefault="005C4AC4" w:rsidP="00D54D47">
            <w:pPr>
              <w:spacing w:after="0" w:line="240" w:lineRule="auto"/>
            </w:pPr>
            <w:r>
              <w:t>Within one (1) semester of return</w:t>
            </w:r>
            <w:r w:rsidR="00D0437F">
              <w:t xml:space="preserve">, the returning faculty will present to the LCOB faculty the results of their </w:t>
            </w:r>
            <w:r w:rsidR="00495670">
              <w:t>s</w:t>
            </w:r>
            <w:r w:rsidR="00D0437F">
              <w:t>abbatical</w:t>
            </w:r>
          </w:p>
        </w:tc>
        <w:tc>
          <w:tcPr>
            <w:tcW w:w="3690" w:type="dxa"/>
          </w:tcPr>
          <w:p w14:paraId="315CB499" w14:textId="77777777" w:rsidR="005C4AC4" w:rsidRDefault="005C4AC4" w:rsidP="00D54D47">
            <w:pPr>
              <w:spacing w:after="0" w:line="240" w:lineRule="auto"/>
            </w:pPr>
          </w:p>
        </w:tc>
      </w:tr>
      <w:tr w:rsidR="007431BA" w14:paraId="74882162" w14:textId="77777777" w:rsidTr="00B4320A">
        <w:trPr>
          <w:trHeight w:val="432"/>
        </w:trPr>
        <w:tc>
          <w:tcPr>
            <w:tcW w:w="2810" w:type="dxa"/>
          </w:tcPr>
          <w:p w14:paraId="1713073E" w14:textId="15A8EFCA" w:rsidR="007431BA" w:rsidRDefault="007431BA" w:rsidP="00C01014">
            <w:pPr>
              <w:spacing w:after="0"/>
            </w:pPr>
          </w:p>
        </w:tc>
        <w:tc>
          <w:tcPr>
            <w:tcW w:w="4295" w:type="dxa"/>
            <w:vAlign w:val="center"/>
          </w:tcPr>
          <w:p w14:paraId="5009827B" w14:textId="3AFAADAE" w:rsidR="007431BA" w:rsidRDefault="005C4AC4" w:rsidP="00B4320A">
            <w:pPr>
              <w:spacing w:after="0"/>
              <w:jc w:val="right"/>
            </w:pPr>
            <w:r>
              <w:t>Total Score:</w:t>
            </w:r>
          </w:p>
        </w:tc>
        <w:tc>
          <w:tcPr>
            <w:tcW w:w="3690" w:type="dxa"/>
          </w:tcPr>
          <w:p w14:paraId="17DF81ED" w14:textId="4DB5B755" w:rsidR="007431BA" w:rsidRDefault="007431BA" w:rsidP="00C01014">
            <w:pPr>
              <w:spacing w:after="0"/>
            </w:pPr>
          </w:p>
        </w:tc>
      </w:tr>
      <w:tr w:rsidR="007431BA" w14:paraId="6BF53F8F" w14:textId="77777777" w:rsidTr="00981060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1696" w14:textId="6CD4692C" w:rsidR="007431BA" w:rsidRDefault="00662F19" w:rsidP="00DE71B7">
            <w:pPr>
              <w:spacing w:after="0"/>
            </w:pPr>
            <w:r>
              <w:t xml:space="preserve">College </w:t>
            </w:r>
            <w:r w:rsidR="00B4320A">
              <w:t>d</w:t>
            </w:r>
            <w:r>
              <w:t>ean: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292A" w14:textId="77777777" w:rsidR="007431BA" w:rsidRDefault="007431BA" w:rsidP="00DE71B7">
            <w:pPr>
              <w:spacing w:after="0"/>
            </w:pPr>
          </w:p>
          <w:p w14:paraId="009E25D4" w14:textId="2466F3DD" w:rsidR="00981060" w:rsidRDefault="00981060" w:rsidP="00DE71B7">
            <w:pPr>
              <w:spacing w:after="0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E55F" w14:textId="1E0E4482" w:rsidR="007431BA" w:rsidRDefault="007431BA" w:rsidP="00DE71B7">
            <w:pPr>
              <w:spacing w:after="0"/>
            </w:pPr>
          </w:p>
        </w:tc>
      </w:tr>
      <w:tr w:rsidR="00981060" w14:paraId="2746635E" w14:textId="77777777" w:rsidTr="00981060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8C2D" w14:textId="2F9A5979" w:rsidR="00981060" w:rsidRDefault="00981060" w:rsidP="00DE71B7">
            <w:pPr>
              <w:spacing w:after="0"/>
            </w:pPr>
            <w:r>
              <w:t>Signature</w:t>
            </w:r>
            <w:r w:rsidR="00662F19">
              <w:t>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727" w14:textId="77777777" w:rsidR="00981060" w:rsidRDefault="00981060" w:rsidP="00DE71B7">
            <w:pPr>
              <w:spacing w:after="0"/>
            </w:pPr>
          </w:p>
          <w:p w14:paraId="6C5C4548" w14:textId="77777777" w:rsidR="00981060" w:rsidRDefault="00981060" w:rsidP="00DE71B7">
            <w:pPr>
              <w:spacing w:after="0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F10" w14:textId="77777777" w:rsidR="00981060" w:rsidRDefault="00981060" w:rsidP="00DE71B7">
            <w:pPr>
              <w:spacing w:after="0"/>
            </w:pPr>
          </w:p>
        </w:tc>
      </w:tr>
      <w:tr w:rsidR="005C4AC4" w14:paraId="599595D6" w14:textId="77777777" w:rsidTr="00981060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924" w14:textId="4F67410F" w:rsidR="005C4AC4" w:rsidRDefault="00981060" w:rsidP="00DE71B7">
            <w:pPr>
              <w:spacing w:after="0"/>
            </w:pPr>
            <w:r>
              <w:t>Date</w:t>
            </w:r>
            <w:r w:rsidR="00662F19">
              <w:t>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F32" w14:textId="77777777" w:rsidR="005C4AC4" w:rsidRDefault="005C4AC4" w:rsidP="00DE71B7">
            <w:pPr>
              <w:spacing w:after="0"/>
            </w:pPr>
          </w:p>
          <w:p w14:paraId="5289C5C9" w14:textId="77777777" w:rsidR="00981060" w:rsidRDefault="00981060" w:rsidP="00DE71B7">
            <w:pPr>
              <w:spacing w:after="0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5AB" w14:textId="77777777" w:rsidR="005C4AC4" w:rsidRDefault="005C4AC4" w:rsidP="00DE71B7">
            <w:pPr>
              <w:spacing w:after="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3D6F" w14:paraId="599BDA8D" w14:textId="77777777" w:rsidTr="00E53D6F">
        <w:tc>
          <w:tcPr>
            <w:tcW w:w="10790" w:type="dxa"/>
          </w:tcPr>
          <w:p w14:paraId="0F4FF728" w14:textId="77777777" w:rsidR="00E53D6F" w:rsidRDefault="00E7739E" w:rsidP="00E53D6F">
            <w:r>
              <w:t>Reviewer comments:</w:t>
            </w:r>
          </w:p>
          <w:p w14:paraId="3CAE0E92" w14:textId="77777777" w:rsidR="00E7739E" w:rsidRDefault="00E7739E" w:rsidP="00E53D6F"/>
          <w:p w14:paraId="35BA75A9" w14:textId="77777777" w:rsidR="00E7739E" w:rsidRDefault="00E7739E" w:rsidP="00E53D6F"/>
          <w:p w14:paraId="44B10DBF" w14:textId="77777777" w:rsidR="00E7739E" w:rsidRDefault="00E7739E" w:rsidP="00E53D6F"/>
          <w:p w14:paraId="0A5E2B4B" w14:textId="77777777" w:rsidR="00E7739E" w:rsidRDefault="00E7739E" w:rsidP="00E53D6F"/>
          <w:p w14:paraId="3FF594B2" w14:textId="77777777" w:rsidR="00E7739E" w:rsidRDefault="00E7739E" w:rsidP="00E53D6F"/>
          <w:p w14:paraId="4A88D09C" w14:textId="77777777" w:rsidR="00E7739E" w:rsidRDefault="00E7739E" w:rsidP="00E53D6F"/>
          <w:p w14:paraId="0F8A6DA2" w14:textId="77777777" w:rsidR="00E7739E" w:rsidRDefault="00E7739E" w:rsidP="00E53D6F"/>
          <w:p w14:paraId="318CE3FE" w14:textId="77777777" w:rsidR="00E7739E" w:rsidRDefault="00E7739E" w:rsidP="00E53D6F"/>
          <w:p w14:paraId="6F773E74" w14:textId="77777777" w:rsidR="00C47B21" w:rsidRDefault="00C47B21" w:rsidP="00E53D6F"/>
          <w:p w14:paraId="425E0008" w14:textId="77777777" w:rsidR="00C47B21" w:rsidRDefault="00C47B21" w:rsidP="00E53D6F"/>
          <w:p w14:paraId="08805A0D" w14:textId="77777777" w:rsidR="00C47B21" w:rsidRDefault="00C47B21" w:rsidP="00E53D6F"/>
          <w:p w14:paraId="54225FF7" w14:textId="77777777" w:rsidR="00E7739E" w:rsidRDefault="00E7739E" w:rsidP="00E53D6F"/>
          <w:p w14:paraId="33055486" w14:textId="77777777" w:rsidR="00E7739E" w:rsidRDefault="00E7739E" w:rsidP="00E53D6F"/>
          <w:p w14:paraId="00B2CB9E" w14:textId="77777777" w:rsidR="00E7739E" w:rsidRDefault="00E7739E" w:rsidP="00E53D6F"/>
          <w:p w14:paraId="5E72AB38" w14:textId="77777777" w:rsidR="00E7739E" w:rsidRDefault="00E7739E" w:rsidP="00E53D6F"/>
          <w:p w14:paraId="01A21F15" w14:textId="77777777" w:rsidR="00E7739E" w:rsidRDefault="00E7739E" w:rsidP="00E53D6F"/>
          <w:p w14:paraId="63785204" w14:textId="77777777" w:rsidR="00E7739E" w:rsidRDefault="00E7739E" w:rsidP="00E53D6F"/>
          <w:p w14:paraId="0C39FEF6" w14:textId="77777777" w:rsidR="00E7739E" w:rsidRDefault="00E7739E" w:rsidP="00E53D6F"/>
          <w:p w14:paraId="6E76AB70" w14:textId="5211C5FD" w:rsidR="00E7739E" w:rsidRDefault="00E7739E" w:rsidP="00E53D6F"/>
        </w:tc>
      </w:tr>
    </w:tbl>
    <w:p w14:paraId="0E4A7A54" w14:textId="77777777" w:rsidR="00E53D6F" w:rsidRDefault="00E53D6F" w:rsidP="00E53D6F"/>
    <w:p w14:paraId="43547F7D" w14:textId="01F0CF39" w:rsidR="00031487" w:rsidRPr="003C4E8D" w:rsidRDefault="00404DF1" w:rsidP="003C4E8D">
      <w:pPr>
        <w:jc w:val="center"/>
        <w:rPr>
          <w:b/>
          <w:bCs/>
          <w:sz w:val="27"/>
        </w:rPr>
      </w:pPr>
      <w:r w:rsidRPr="00E53D6F">
        <w:br w:type="page"/>
      </w:r>
      <w:r w:rsidR="00031487" w:rsidRPr="003C4E8D">
        <w:rPr>
          <w:b/>
          <w:bCs/>
          <w:color w:val="0C0C0C"/>
        </w:rPr>
        <w:lastRenderedPageBreak/>
        <w:t>MARSHALL</w:t>
      </w:r>
      <w:r w:rsidR="00031487" w:rsidRPr="003C4E8D">
        <w:rPr>
          <w:b/>
          <w:bCs/>
          <w:color w:val="0C0C0C"/>
          <w:spacing w:val="56"/>
        </w:rPr>
        <w:t xml:space="preserve"> </w:t>
      </w:r>
      <w:r w:rsidR="00031487" w:rsidRPr="003C4E8D">
        <w:rPr>
          <w:b/>
          <w:bCs/>
          <w:color w:val="0C0C0C"/>
        </w:rPr>
        <w:t>UNIVERSITY</w:t>
      </w:r>
      <w:r w:rsidR="00031487" w:rsidRPr="003C4E8D">
        <w:rPr>
          <w:b/>
          <w:bCs/>
          <w:color w:val="0C0C0C"/>
          <w:spacing w:val="58"/>
        </w:rPr>
        <w:t xml:space="preserve"> </w:t>
      </w:r>
      <w:r w:rsidR="00031487" w:rsidRPr="003C4E8D">
        <w:rPr>
          <w:b/>
          <w:bCs/>
          <w:color w:val="0C0C0C"/>
        </w:rPr>
        <w:t>BOARD</w:t>
      </w:r>
      <w:r w:rsidR="00031487" w:rsidRPr="003C4E8D">
        <w:rPr>
          <w:b/>
          <w:bCs/>
          <w:color w:val="0C0C0C"/>
          <w:spacing w:val="36"/>
        </w:rPr>
        <w:t xml:space="preserve"> </w:t>
      </w:r>
      <w:r w:rsidR="00031487" w:rsidRPr="003C4E8D">
        <w:rPr>
          <w:b/>
          <w:bCs/>
          <w:color w:val="0C0C0C"/>
        </w:rPr>
        <w:t>OF</w:t>
      </w:r>
      <w:r w:rsidR="00031487" w:rsidRPr="003C4E8D">
        <w:rPr>
          <w:b/>
          <w:bCs/>
          <w:color w:val="0C0C0C"/>
          <w:spacing w:val="26"/>
        </w:rPr>
        <w:t xml:space="preserve"> </w:t>
      </w:r>
      <w:r w:rsidR="00031487" w:rsidRPr="003C4E8D">
        <w:rPr>
          <w:b/>
          <w:bCs/>
          <w:color w:val="0C0C0C"/>
          <w:spacing w:val="-2"/>
        </w:rPr>
        <w:t>GOVERNORS</w:t>
      </w:r>
    </w:p>
    <w:p w14:paraId="1BABB062" w14:textId="789A85A5" w:rsidR="00031487" w:rsidRDefault="00031487" w:rsidP="00977FD6">
      <w:pPr>
        <w:spacing w:line="496" w:lineRule="auto"/>
        <w:ind w:left="2160" w:right="3302" w:firstLine="720"/>
        <w:jc w:val="center"/>
        <w:rPr>
          <w:b/>
          <w:sz w:val="27"/>
        </w:rPr>
      </w:pPr>
      <w:r>
        <w:rPr>
          <w:b/>
          <w:color w:val="0C0C0C"/>
          <w:w w:val="105"/>
          <w:sz w:val="27"/>
        </w:rPr>
        <w:t xml:space="preserve">Rule No. AA-1 </w:t>
      </w:r>
      <w:r>
        <w:rPr>
          <w:b/>
          <w:color w:val="0C0C0C"/>
          <w:sz w:val="27"/>
        </w:rPr>
        <w:t xml:space="preserve">SABBATICAL </w:t>
      </w:r>
      <w:r w:rsidR="00977FD6">
        <w:rPr>
          <w:b/>
          <w:color w:val="0C0C0C"/>
          <w:sz w:val="27"/>
        </w:rPr>
        <w:t>L</w:t>
      </w:r>
      <w:r>
        <w:rPr>
          <w:b/>
          <w:color w:val="0C0C0C"/>
          <w:sz w:val="27"/>
        </w:rPr>
        <w:t>EAVE</w:t>
      </w:r>
    </w:p>
    <w:p w14:paraId="249A6E81" w14:textId="77777777" w:rsidR="00031487" w:rsidRDefault="00031487" w:rsidP="00031487">
      <w:pPr>
        <w:spacing w:line="261" w:lineRule="exact"/>
        <w:ind w:left="242"/>
        <w:rPr>
          <w:b/>
          <w:sz w:val="23"/>
        </w:rPr>
      </w:pPr>
      <w:r>
        <w:rPr>
          <w:b/>
          <w:color w:val="0C0C0C"/>
          <w:spacing w:val="-2"/>
          <w:sz w:val="23"/>
        </w:rPr>
        <w:t>General</w:t>
      </w:r>
    </w:p>
    <w:p w14:paraId="538E089A" w14:textId="77777777" w:rsidR="00031487" w:rsidRDefault="00031487" w:rsidP="00031487">
      <w:pPr>
        <w:pStyle w:val="ListParagraph"/>
        <w:widowControl w:val="0"/>
        <w:numPr>
          <w:ilvl w:val="1"/>
          <w:numId w:val="17"/>
        </w:numPr>
        <w:tabs>
          <w:tab w:val="left" w:pos="963"/>
        </w:tabs>
        <w:autoSpaceDE w:val="0"/>
        <w:autoSpaceDN w:val="0"/>
        <w:spacing w:before="207" w:after="0" w:line="240" w:lineRule="auto"/>
        <w:contextualSpacing w:val="0"/>
        <w:rPr>
          <w:sz w:val="24"/>
        </w:rPr>
      </w:pPr>
      <w:r>
        <w:rPr>
          <w:color w:val="0C0C0C"/>
          <w:sz w:val="24"/>
        </w:rPr>
        <w:t>Scope: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This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policy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establishes a</w:t>
      </w:r>
      <w:r>
        <w:rPr>
          <w:color w:val="0C0C0C"/>
          <w:spacing w:val="-15"/>
          <w:sz w:val="24"/>
        </w:rPr>
        <w:t xml:space="preserve"> </w:t>
      </w:r>
      <w:r>
        <w:rPr>
          <w:color w:val="0C0C0C"/>
          <w:sz w:val="24"/>
        </w:rPr>
        <w:t>uniform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sabbatical</w:t>
      </w:r>
      <w:r>
        <w:rPr>
          <w:color w:val="0C0C0C"/>
          <w:spacing w:val="10"/>
          <w:sz w:val="24"/>
        </w:rPr>
        <w:t xml:space="preserve"> </w:t>
      </w:r>
      <w:r>
        <w:rPr>
          <w:color w:val="0C0C0C"/>
          <w:sz w:val="24"/>
        </w:rPr>
        <w:t>leave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plan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for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faculty</w:t>
      </w:r>
      <w:r>
        <w:rPr>
          <w:color w:val="0C0C0C"/>
          <w:spacing w:val="3"/>
          <w:sz w:val="24"/>
        </w:rPr>
        <w:t xml:space="preserve"> </w:t>
      </w:r>
      <w:r>
        <w:rPr>
          <w:color w:val="0C0C0C"/>
          <w:spacing w:val="-2"/>
          <w:sz w:val="24"/>
        </w:rPr>
        <w:t>members.</w:t>
      </w:r>
    </w:p>
    <w:p w14:paraId="0AECEF90" w14:textId="77777777" w:rsidR="00031487" w:rsidRDefault="00031487" w:rsidP="00031487">
      <w:pPr>
        <w:pStyle w:val="ListParagraph"/>
        <w:widowControl w:val="0"/>
        <w:numPr>
          <w:ilvl w:val="1"/>
          <w:numId w:val="17"/>
        </w:numPr>
        <w:tabs>
          <w:tab w:val="left" w:pos="963"/>
        </w:tabs>
        <w:autoSpaceDE w:val="0"/>
        <w:autoSpaceDN w:val="0"/>
        <w:spacing w:before="200" w:after="0" w:line="240" w:lineRule="auto"/>
        <w:contextualSpacing w:val="0"/>
        <w:rPr>
          <w:sz w:val="24"/>
        </w:rPr>
      </w:pPr>
      <w:r>
        <w:rPr>
          <w:color w:val="0C0C0C"/>
          <w:sz w:val="24"/>
        </w:rPr>
        <w:t>Statutory References:</w:t>
      </w:r>
      <w:r>
        <w:rPr>
          <w:color w:val="0C0C0C"/>
          <w:spacing w:val="3"/>
          <w:sz w:val="24"/>
        </w:rPr>
        <w:t xml:space="preserve"> </w:t>
      </w:r>
      <w:r>
        <w:rPr>
          <w:color w:val="0C0C0C"/>
          <w:sz w:val="24"/>
        </w:rPr>
        <w:t>W.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Va</w:t>
      </w:r>
      <w:r>
        <w:rPr>
          <w:color w:val="363636"/>
          <w:sz w:val="24"/>
        </w:rPr>
        <w:t>.</w:t>
      </w:r>
      <w:r>
        <w:rPr>
          <w:color w:val="363636"/>
          <w:spacing w:val="-18"/>
          <w:sz w:val="24"/>
        </w:rPr>
        <w:t xml:space="preserve"> </w:t>
      </w:r>
      <w:r>
        <w:rPr>
          <w:color w:val="0C0C0C"/>
          <w:sz w:val="24"/>
        </w:rPr>
        <w:t>Code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§§18B-7-2,</w:t>
      </w:r>
      <w:r>
        <w:rPr>
          <w:color w:val="0C0C0C"/>
          <w:spacing w:val="3"/>
          <w:sz w:val="24"/>
        </w:rPr>
        <w:t xml:space="preserve"> </w:t>
      </w:r>
      <w:r>
        <w:rPr>
          <w:color w:val="0C0C0C"/>
          <w:sz w:val="24"/>
        </w:rPr>
        <w:t>18B-1-</w:t>
      </w:r>
      <w:r>
        <w:rPr>
          <w:color w:val="0C0C0C"/>
          <w:spacing w:val="-10"/>
          <w:sz w:val="24"/>
        </w:rPr>
        <w:t>6</w:t>
      </w:r>
    </w:p>
    <w:p w14:paraId="3EAF2534" w14:textId="77777777" w:rsidR="00031487" w:rsidRDefault="00031487" w:rsidP="00031487">
      <w:pPr>
        <w:pStyle w:val="ListParagraph"/>
        <w:widowControl w:val="0"/>
        <w:numPr>
          <w:ilvl w:val="1"/>
          <w:numId w:val="17"/>
        </w:numPr>
        <w:tabs>
          <w:tab w:val="left" w:pos="964"/>
        </w:tabs>
        <w:autoSpaceDE w:val="0"/>
        <w:autoSpaceDN w:val="0"/>
        <w:spacing w:before="199" w:after="0" w:line="240" w:lineRule="auto"/>
        <w:ind w:left="964" w:hanging="721"/>
        <w:contextualSpacing w:val="0"/>
        <w:rPr>
          <w:sz w:val="24"/>
        </w:rPr>
      </w:pPr>
      <w:r>
        <w:rPr>
          <w:color w:val="0C0C0C"/>
          <w:sz w:val="24"/>
        </w:rPr>
        <w:t>Passage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Date: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August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6,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pacing w:val="-4"/>
          <w:sz w:val="24"/>
        </w:rPr>
        <w:t>2024</w:t>
      </w:r>
    </w:p>
    <w:p w14:paraId="60331714" w14:textId="77777777" w:rsidR="00031487" w:rsidRDefault="00031487" w:rsidP="00031487">
      <w:pPr>
        <w:pStyle w:val="ListParagraph"/>
        <w:widowControl w:val="0"/>
        <w:numPr>
          <w:ilvl w:val="1"/>
          <w:numId w:val="17"/>
        </w:numPr>
        <w:tabs>
          <w:tab w:val="left" w:pos="963"/>
        </w:tabs>
        <w:autoSpaceDE w:val="0"/>
        <w:autoSpaceDN w:val="0"/>
        <w:spacing w:before="205" w:after="0" w:line="240" w:lineRule="auto"/>
        <w:contextualSpacing w:val="0"/>
        <w:rPr>
          <w:sz w:val="24"/>
        </w:rPr>
      </w:pPr>
      <w:r>
        <w:rPr>
          <w:color w:val="0C0C0C"/>
          <w:sz w:val="24"/>
        </w:rPr>
        <w:t>Effective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Date: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September</w:t>
      </w:r>
      <w:r>
        <w:rPr>
          <w:color w:val="0C0C0C"/>
          <w:spacing w:val="5"/>
          <w:sz w:val="24"/>
        </w:rPr>
        <w:t xml:space="preserve"> </w:t>
      </w:r>
      <w:r>
        <w:rPr>
          <w:color w:val="0C0C0C"/>
          <w:sz w:val="24"/>
        </w:rPr>
        <w:t>19,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pacing w:val="-4"/>
          <w:sz w:val="24"/>
        </w:rPr>
        <w:t>2024</w:t>
      </w:r>
    </w:p>
    <w:p w14:paraId="23093648" w14:textId="77777777" w:rsidR="00031487" w:rsidRDefault="00031487" w:rsidP="00031487">
      <w:pPr>
        <w:pStyle w:val="ListParagraph"/>
        <w:widowControl w:val="0"/>
        <w:numPr>
          <w:ilvl w:val="1"/>
          <w:numId w:val="17"/>
        </w:numPr>
        <w:tabs>
          <w:tab w:val="left" w:pos="963"/>
        </w:tabs>
        <w:autoSpaceDE w:val="0"/>
        <w:autoSpaceDN w:val="0"/>
        <w:spacing w:before="200" w:after="0" w:line="240" w:lineRule="auto"/>
        <w:ind w:right="269"/>
        <w:contextualSpacing w:val="0"/>
        <w:rPr>
          <w:sz w:val="24"/>
        </w:rPr>
      </w:pPr>
      <w:r>
        <w:rPr>
          <w:color w:val="0C0C0C"/>
          <w:sz w:val="24"/>
        </w:rPr>
        <w:t>Background: Replaces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Board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Trustees Series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No.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10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which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was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transferred by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the Higher Education Policy Commission to the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institutional boards of governors. This policy was previously numbered as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MUBOG Policy No.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6.</w:t>
      </w:r>
      <w:r>
        <w:rPr>
          <w:color w:val="0C0C0C"/>
          <w:spacing w:val="37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current update was approved by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Marshall University Board of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Governors on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October 22,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2020. The policy was updated and approved by the Marshall Board of Governors on April 29, 2021.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This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rule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was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updated (recategorization</w:t>
      </w:r>
      <w:r>
        <w:rPr>
          <w:color w:val="0C0C0C"/>
          <w:spacing w:val="-17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polices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rules)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by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the Marshall Board of Governors on December 13, 2023.</w:t>
      </w:r>
    </w:p>
    <w:p w14:paraId="33741DBB" w14:textId="77777777" w:rsidR="00031487" w:rsidRDefault="00031487" w:rsidP="00031487">
      <w:pPr>
        <w:pStyle w:val="BodyText"/>
        <w:spacing w:before="21"/>
      </w:pPr>
    </w:p>
    <w:p w14:paraId="08A563E8" w14:textId="77777777" w:rsidR="00031487" w:rsidRDefault="00031487" w:rsidP="00031487">
      <w:pPr>
        <w:spacing w:before="1"/>
        <w:ind w:left="241"/>
        <w:rPr>
          <w:b/>
          <w:sz w:val="23"/>
        </w:rPr>
      </w:pPr>
      <w:r>
        <w:rPr>
          <w:b/>
          <w:color w:val="0C0C0C"/>
          <w:spacing w:val="-2"/>
          <w:sz w:val="23"/>
        </w:rPr>
        <w:t>Policy:</w:t>
      </w:r>
    </w:p>
    <w:p w14:paraId="4BF66E02" w14:textId="77777777" w:rsidR="00031487" w:rsidRDefault="00031487" w:rsidP="00031487">
      <w:pPr>
        <w:pStyle w:val="BodyText"/>
        <w:spacing w:before="14"/>
        <w:rPr>
          <w:b/>
          <w:sz w:val="23"/>
        </w:rPr>
      </w:pPr>
    </w:p>
    <w:p w14:paraId="47E71B71" w14:textId="77777777" w:rsidR="00031487" w:rsidRDefault="00031487" w:rsidP="00031487">
      <w:pPr>
        <w:pStyle w:val="ListParagraph"/>
        <w:widowControl w:val="0"/>
        <w:numPr>
          <w:ilvl w:val="1"/>
          <w:numId w:val="16"/>
        </w:numPr>
        <w:tabs>
          <w:tab w:val="left" w:pos="961"/>
          <w:tab w:val="left" w:pos="964"/>
        </w:tabs>
        <w:autoSpaceDE w:val="0"/>
        <w:autoSpaceDN w:val="0"/>
        <w:spacing w:after="0" w:line="240" w:lineRule="auto"/>
        <w:ind w:right="314" w:hanging="722"/>
        <w:contextualSpacing w:val="0"/>
        <w:rPr>
          <w:sz w:val="24"/>
        </w:rPr>
      </w:pPr>
      <w:r>
        <w:rPr>
          <w:color w:val="0C0C0C"/>
          <w:sz w:val="24"/>
        </w:rPr>
        <w:t>A sabbatical leave is a merit-based professional development activity that allows faculty to</w:t>
      </w:r>
      <w:r>
        <w:rPr>
          <w:color w:val="0C0C0C"/>
          <w:spacing w:val="-14"/>
          <w:sz w:val="24"/>
        </w:rPr>
        <w:t xml:space="preserve"> </w:t>
      </w:r>
      <w:r>
        <w:rPr>
          <w:color w:val="0C0C0C"/>
          <w:sz w:val="24"/>
        </w:rPr>
        <w:t>enhance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their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potential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as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teachers, artists,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scholars,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thereby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make additional contributions to the missions of Marshall University.</w:t>
      </w:r>
    </w:p>
    <w:p w14:paraId="08149A4B" w14:textId="77777777" w:rsidR="00031487" w:rsidRDefault="00031487" w:rsidP="00031487">
      <w:pPr>
        <w:pStyle w:val="BodyText"/>
        <w:spacing w:before="15"/>
      </w:pPr>
    </w:p>
    <w:p w14:paraId="196FD35D" w14:textId="77777777" w:rsidR="00031487" w:rsidRDefault="00031487" w:rsidP="00031487">
      <w:pPr>
        <w:spacing w:before="1"/>
        <w:ind w:left="242"/>
        <w:rPr>
          <w:b/>
          <w:sz w:val="23"/>
        </w:rPr>
      </w:pPr>
      <w:r>
        <w:rPr>
          <w:b/>
          <w:color w:val="0C0C0C"/>
          <w:spacing w:val="-2"/>
          <w:sz w:val="23"/>
        </w:rPr>
        <w:t>Eligibility:</w:t>
      </w:r>
    </w:p>
    <w:p w14:paraId="720C5F63" w14:textId="77777777" w:rsidR="00031487" w:rsidRDefault="00031487" w:rsidP="00031487">
      <w:pPr>
        <w:pStyle w:val="BodyText"/>
        <w:spacing w:before="14"/>
        <w:rPr>
          <w:b/>
          <w:sz w:val="23"/>
        </w:rPr>
      </w:pPr>
    </w:p>
    <w:p w14:paraId="5FB4598A" w14:textId="77777777" w:rsidR="00031487" w:rsidRDefault="00031487" w:rsidP="00031487">
      <w:pPr>
        <w:pStyle w:val="ListParagraph"/>
        <w:widowControl w:val="0"/>
        <w:numPr>
          <w:ilvl w:val="1"/>
          <w:numId w:val="15"/>
        </w:numPr>
        <w:tabs>
          <w:tab w:val="left" w:pos="964"/>
          <w:tab w:val="left" w:pos="966"/>
        </w:tabs>
        <w:autoSpaceDE w:val="0"/>
        <w:autoSpaceDN w:val="0"/>
        <w:spacing w:after="0" w:line="240" w:lineRule="auto"/>
        <w:ind w:right="481" w:hanging="723"/>
        <w:contextualSpacing w:val="0"/>
        <w:rPr>
          <w:sz w:val="24"/>
        </w:rPr>
      </w:pPr>
      <w:r>
        <w:rPr>
          <w:color w:val="0C0C0C"/>
          <w:sz w:val="24"/>
        </w:rPr>
        <w:t>Any person holding faculty rank in a permanent position (including clinical and library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faculty) at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Marshall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University is</w:t>
      </w:r>
      <w:r>
        <w:rPr>
          <w:color w:val="0C0C0C"/>
          <w:spacing w:val="-15"/>
          <w:sz w:val="24"/>
        </w:rPr>
        <w:t xml:space="preserve"> </w:t>
      </w:r>
      <w:r>
        <w:rPr>
          <w:color w:val="0C0C0C"/>
          <w:sz w:val="24"/>
        </w:rPr>
        <w:t>eligible to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apply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for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sabbatical leave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after completion of at least six years of full-time employment</w:t>
      </w:r>
      <w:r>
        <w:rPr>
          <w:color w:val="0C0C0C"/>
          <w:spacing w:val="34"/>
          <w:sz w:val="24"/>
        </w:rPr>
        <w:t xml:space="preserve"> </w:t>
      </w:r>
      <w:r>
        <w:rPr>
          <w:color w:val="0C0C0C"/>
          <w:sz w:val="24"/>
        </w:rPr>
        <w:t>at Marshall University.</w:t>
      </w:r>
    </w:p>
    <w:p w14:paraId="24DBF7A6" w14:textId="77777777" w:rsidR="00031487" w:rsidRDefault="00031487" w:rsidP="00031487">
      <w:pPr>
        <w:pStyle w:val="BodyText"/>
        <w:spacing w:before="1"/>
      </w:pPr>
    </w:p>
    <w:p w14:paraId="25B86017" w14:textId="77777777" w:rsidR="00031487" w:rsidRDefault="00031487" w:rsidP="00031487">
      <w:pPr>
        <w:pStyle w:val="ListParagraph"/>
        <w:widowControl w:val="0"/>
        <w:numPr>
          <w:ilvl w:val="1"/>
          <w:numId w:val="15"/>
        </w:numPr>
        <w:tabs>
          <w:tab w:val="left" w:pos="961"/>
          <w:tab w:val="left" w:pos="964"/>
        </w:tabs>
        <w:autoSpaceDE w:val="0"/>
        <w:autoSpaceDN w:val="0"/>
        <w:spacing w:after="0" w:line="240" w:lineRule="auto"/>
        <w:ind w:right="1007" w:hanging="722"/>
        <w:contextualSpacing w:val="0"/>
        <w:rPr>
          <w:sz w:val="24"/>
        </w:rPr>
      </w:pPr>
      <w:r>
        <w:rPr>
          <w:color w:val="0C0C0C"/>
          <w:sz w:val="24"/>
        </w:rPr>
        <w:t>After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 xml:space="preserve">completing </w:t>
      </w:r>
      <w:proofErr w:type="gramStart"/>
      <w:r>
        <w:rPr>
          <w:color w:val="0C0C0C"/>
          <w:sz w:val="24"/>
        </w:rPr>
        <w:t>a</w:t>
      </w:r>
      <w:r>
        <w:rPr>
          <w:color w:val="0C0C0C"/>
          <w:spacing w:val="-14"/>
          <w:sz w:val="24"/>
        </w:rPr>
        <w:t xml:space="preserve"> </w:t>
      </w:r>
      <w:r>
        <w:rPr>
          <w:color w:val="0C0C0C"/>
          <w:sz w:val="24"/>
        </w:rPr>
        <w:t>sabbatical</w:t>
      </w:r>
      <w:proofErr w:type="gramEnd"/>
      <w:r>
        <w:rPr>
          <w:color w:val="0C0C0C"/>
          <w:sz w:val="24"/>
        </w:rPr>
        <w:t xml:space="preserve"> leave,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a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faculty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member will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not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be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eligible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 xml:space="preserve">for another sabbatical leave for the subsequent six academic years of full-time </w:t>
      </w:r>
      <w:r>
        <w:rPr>
          <w:color w:val="0C0C0C"/>
          <w:spacing w:val="-2"/>
          <w:sz w:val="24"/>
        </w:rPr>
        <w:t>employment.</w:t>
      </w:r>
    </w:p>
    <w:p w14:paraId="2D4B2275" w14:textId="77777777" w:rsidR="00031487" w:rsidRDefault="00031487" w:rsidP="00031487">
      <w:pPr>
        <w:pStyle w:val="BodyText"/>
        <w:spacing w:before="11"/>
      </w:pPr>
    </w:p>
    <w:p w14:paraId="36759CA6" w14:textId="77777777" w:rsidR="00031487" w:rsidRDefault="00031487" w:rsidP="00031487">
      <w:pPr>
        <w:ind w:left="243"/>
        <w:rPr>
          <w:b/>
          <w:sz w:val="23"/>
        </w:rPr>
      </w:pPr>
      <w:r>
        <w:rPr>
          <w:b/>
          <w:color w:val="0C0C0C"/>
          <w:w w:val="105"/>
          <w:sz w:val="23"/>
        </w:rPr>
        <w:t>Conditions</w:t>
      </w:r>
      <w:r>
        <w:rPr>
          <w:b/>
          <w:color w:val="0C0C0C"/>
          <w:spacing w:val="-1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Governing</w:t>
      </w:r>
      <w:r>
        <w:rPr>
          <w:b/>
          <w:color w:val="0C0C0C"/>
          <w:spacing w:val="-9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Granting</w:t>
      </w:r>
      <w:r>
        <w:rPr>
          <w:b/>
          <w:color w:val="0C0C0C"/>
          <w:spacing w:val="-1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of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Sabbatical</w:t>
      </w:r>
      <w:r>
        <w:rPr>
          <w:b/>
          <w:color w:val="0C0C0C"/>
          <w:spacing w:val="-4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Leave:</w:t>
      </w:r>
    </w:p>
    <w:p w14:paraId="59076458" w14:textId="77777777" w:rsidR="00031487" w:rsidRDefault="00031487" w:rsidP="00031487">
      <w:pPr>
        <w:pStyle w:val="BodyText"/>
        <w:spacing w:before="14"/>
        <w:rPr>
          <w:b/>
          <w:sz w:val="23"/>
        </w:rPr>
      </w:pPr>
    </w:p>
    <w:p w14:paraId="4B0E238C" w14:textId="1B19125E" w:rsidR="00031487" w:rsidRPr="00E55CAD" w:rsidRDefault="00031487" w:rsidP="00E55CAD">
      <w:pPr>
        <w:pStyle w:val="ListParagraph"/>
        <w:widowControl w:val="0"/>
        <w:numPr>
          <w:ilvl w:val="1"/>
          <w:numId w:val="14"/>
        </w:numPr>
        <w:tabs>
          <w:tab w:val="left" w:pos="961"/>
          <w:tab w:val="left" w:pos="963"/>
        </w:tabs>
        <w:autoSpaceDE w:val="0"/>
        <w:autoSpaceDN w:val="0"/>
        <w:spacing w:before="4" w:after="0" w:line="240" w:lineRule="auto"/>
        <w:ind w:left="965" w:right="461" w:hanging="720"/>
        <w:contextualSpacing w:val="0"/>
      </w:pPr>
      <w:r w:rsidRPr="00E55CAD">
        <w:rPr>
          <w:color w:val="0C0C0C"/>
          <w:sz w:val="24"/>
        </w:rPr>
        <w:t>Each</w:t>
      </w:r>
      <w:r w:rsidRPr="00E55CAD">
        <w:rPr>
          <w:color w:val="0C0C0C"/>
          <w:spacing w:val="-1"/>
          <w:sz w:val="24"/>
        </w:rPr>
        <w:t xml:space="preserve"> </w:t>
      </w:r>
      <w:r w:rsidRPr="00E55CAD">
        <w:rPr>
          <w:color w:val="0C0C0C"/>
          <w:sz w:val="24"/>
        </w:rPr>
        <w:t>year, the</w:t>
      </w:r>
      <w:r w:rsidRPr="00E55CAD">
        <w:rPr>
          <w:color w:val="0C0C0C"/>
          <w:spacing w:val="-7"/>
          <w:sz w:val="24"/>
        </w:rPr>
        <w:t xml:space="preserve"> </w:t>
      </w:r>
      <w:r w:rsidRPr="00E55CAD">
        <w:rPr>
          <w:color w:val="0C0C0C"/>
          <w:sz w:val="24"/>
        </w:rPr>
        <w:t>President or</w:t>
      </w:r>
      <w:r w:rsidRPr="00E55CAD">
        <w:rPr>
          <w:color w:val="0C0C0C"/>
          <w:spacing w:val="-8"/>
          <w:sz w:val="24"/>
        </w:rPr>
        <w:t xml:space="preserve"> </w:t>
      </w:r>
      <w:r w:rsidRPr="00E55CAD">
        <w:rPr>
          <w:color w:val="0C0C0C"/>
          <w:sz w:val="24"/>
        </w:rPr>
        <w:t>designee will</w:t>
      </w:r>
      <w:r w:rsidRPr="00E55CAD">
        <w:rPr>
          <w:color w:val="0C0C0C"/>
          <w:spacing w:val="-6"/>
          <w:sz w:val="24"/>
        </w:rPr>
        <w:t xml:space="preserve"> </w:t>
      </w:r>
      <w:r w:rsidRPr="00E55CAD">
        <w:rPr>
          <w:color w:val="0C0C0C"/>
          <w:sz w:val="24"/>
        </w:rPr>
        <w:t>announce to</w:t>
      </w:r>
      <w:r w:rsidRPr="00E55CAD">
        <w:rPr>
          <w:color w:val="0C0C0C"/>
          <w:spacing w:val="-15"/>
          <w:sz w:val="24"/>
        </w:rPr>
        <w:t xml:space="preserve"> </w:t>
      </w:r>
      <w:r w:rsidRPr="00E55CAD">
        <w:rPr>
          <w:color w:val="0C0C0C"/>
          <w:sz w:val="24"/>
        </w:rPr>
        <w:t>faculty by</w:t>
      </w:r>
      <w:r w:rsidRPr="00E55CAD">
        <w:rPr>
          <w:color w:val="0C0C0C"/>
          <w:spacing w:val="-5"/>
          <w:sz w:val="24"/>
        </w:rPr>
        <w:t xml:space="preserve"> </w:t>
      </w:r>
      <w:r w:rsidRPr="00E55CAD">
        <w:rPr>
          <w:color w:val="0C0C0C"/>
          <w:sz w:val="24"/>
        </w:rPr>
        <w:t>May 1</w:t>
      </w:r>
      <w:r w:rsidRPr="00E55CAD">
        <w:rPr>
          <w:color w:val="0C0C0C"/>
          <w:spacing w:val="-12"/>
          <w:sz w:val="24"/>
        </w:rPr>
        <w:t xml:space="preserve"> </w:t>
      </w:r>
      <w:r w:rsidRPr="00E55CAD">
        <w:rPr>
          <w:color w:val="0C0C0C"/>
          <w:sz w:val="24"/>
        </w:rPr>
        <w:t>or</w:t>
      </w:r>
      <w:r w:rsidRPr="00E55CAD">
        <w:rPr>
          <w:color w:val="0C0C0C"/>
          <w:spacing w:val="-7"/>
          <w:sz w:val="24"/>
        </w:rPr>
        <w:t xml:space="preserve"> </w:t>
      </w:r>
      <w:r w:rsidRPr="00E55CAD">
        <w:rPr>
          <w:color w:val="0C0C0C"/>
          <w:sz w:val="24"/>
        </w:rPr>
        <w:t>the</w:t>
      </w:r>
      <w:r w:rsidRPr="00E55CAD">
        <w:rPr>
          <w:color w:val="0C0C0C"/>
          <w:spacing w:val="-3"/>
          <w:sz w:val="24"/>
        </w:rPr>
        <w:t xml:space="preserve"> </w:t>
      </w:r>
      <w:r w:rsidRPr="00E55CAD">
        <w:rPr>
          <w:color w:val="0C0C0C"/>
          <w:sz w:val="24"/>
        </w:rPr>
        <w:t>next business day the number of sabbatical leaves available for each College for the following academic year.</w:t>
      </w:r>
      <w:r w:rsidRPr="00E55CAD">
        <w:rPr>
          <w:color w:val="0C0C0C"/>
          <w:spacing w:val="31"/>
          <w:sz w:val="24"/>
        </w:rPr>
        <w:t xml:space="preserve"> </w:t>
      </w:r>
      <w:r w:rsidRPr="00E55CAD">
        <w:rPr>
          <w:color w:val="0C0C0C"/>
          <w:sz w:val="24"/>
        </w:rPr>
        <w:t>The</w:t>
      </w:r>
      <w:r w:rsidRPr="00E55CAD">
        <w:rPr>
          <w:color w:val="0C0C0C"/>
          <w:spacing w:val="-9"/>
          <w:sz w:val="24"/>
        </w:rPr>
        <w:t xml:space="preserve"> </w:t>
      </w:r>
      <w:r w:rsidRPr="00E55CAD">
        <w:rPr>
          <w:color w:val="0C0C0C"/>
          <w:sz w:val="24"/>
        </w:rPr>
        <w:t>number may</w:t>
      </w:r>
      <w:r w:rsidRPr="00E55CAD">
        <w:rPr>
          <w:color w:val="0C0C0C"/>
          <w:spacing w:val="-4"/>
          <w:sz w:val="24"/>
        </w:rPr>
        <w:t xml:space="preserve"> </w:t>
      </w:r>
      <w:r w:rsidRPr="00E55CAD">
        <w:rPr>
          <w:color w:val="0C0C0C"/>
          <w:sz w:val="24"/>
        </w:rPr>
        <w:t>vary based on</w:t>
      </w:r>
      <w:r w:rsidRPr="00E55CAD">
        <w:rPr>
          <w:color w:val="0C0C0C"/>
          <w:spacing w:val="-11"/>
          <w:sz w:val="24"/>
        </w:rPr>
        <w:t xml:space="preserve"> </w:t>
      </w:r>
      <w:r w:rsidRPr="00E55CAD">
        <w:rPr>
          <w:color w:val="0C0C0C"/>
          <w:sz w:val="24"/>
        </w:rPr>
        <w:t>conditions prevailing in the institution at the time.</w:t>
      </w:r>
      <w:r w:rsidR="00E55CAD" w:rsidRPr="00E55CAD">
        <w:rPr>
          <w:color w:val="0C0C0C"/>
          <w:sz w:val="24"/>
        </w:rPr>
        <w:t xml:space="preserve"> </w:t>
      </w:r>
    </w:p>
    <w:p w14:paraId="785EE23E" w14:textId="77777777" w:rsidR="00E55CAD" w:rsidRDefault="00E55CAD" w:rsidP="00E55CAD">
      <w:pPr>
        <w:pStyle w:val="ListParagraph"/>
        <w:widowControl w:val="0"/>
        <w:tabs>
          <w:tab w:val="left" w:pos="961"/>
          <w:tab w:val="left" w:pos="963"/>
        </w:tabs>
        <w:autoSpaceDE w:val="0"/>
        <w:autoSpaceDN w:val="0"/>
        <w:spacing w:before="4" w:after="0" w:line="240" w:lineRule="auto"/>
        <w:ind w:left="965" w:right="461"/>
        <w:contextualSpacing w:val="0"/>
      </w:pPr>
    </w:p>
    <w:p w14:paraId="40C86B94" w14:textId="148C23A6" w:rsidR="00031487" w:rsidRPr="00E43960" w:rsidRDefault="00031487" w:rsidP="00E55CAD">
      <w:pPr>
        <w:pStyle w:val="ListParagraph"/>
        <w:widowControl w:val="0"/>
        <w:numPr>
          <w:ilvl w:val="1"/>
          <w:numId w:val="22"/>
        </w:numPr>
        <w:tabs>
          <w:tab w:val="left" w:pos="963"/>
        </w:tabs>
        <w:autoSpaceDE w:val="0"/>
        <w:autoSpaceDN w:val="0"/>
        <w:spacing w:before="4" w:after="0" w:line="252" w:lineRule="auto"/>
        <w:ind w:left="965" w:right="461" w:hanging="720"/>
        <w:contextualSpacing w:val="0"/>
        <w:rPr>
          <w:sz w:val="23"/>
        </w:rPr>
      </w:pPr>
      <w:r w:rsidRPr="00E43960">
        <w:rPr>
          <w:color w:val="0C0C0C"/>
          <w:sz w:val="24"/>
        </w:rPr>
        <w:t>Each</w:t>
      </w:r>
      <w:r w:rsidRPr="00E43960">
        <w:rPr>
          <w:color w:val="0C0C0C"/>
          <w:spacing w:val="-8"/>
          <w:sz w:val="24"/>
        </w:rPr>
        <w:t xml:space="preserve"> </w:t>
      </w:r>
      <w:r w:rsidRPr="00E43960">
        <w:rPr>
          <w:color w:val="0C0C0C"/>
          <w:sz w:val="24"/>
        </w:rPr>
        <w:t>college</w:t>
      </w:r>
      <w:r w:rsidRPr="00E43960">
        <w:rPr>
          <w:color w:val="0C0C0C"/>
          <w:spacing w:val="4"/>
          <w:sz w:val="24"/>
        </w:rPr>
        <w:t xml:space="preserve"> </w:t>
      </w:r>
      <w:r w:rsidRPr="00E43960">
        <w:rPr>
          <w:color w:val="0C0C0C"/>
          <w:sz w:val="24"/>
        </w:rPr>
        <w:t>will</w:t>
      </w:r>
      <w:r w:rsidRPr="00E43960">
        <w:rPr>
          <w:color w:val="0C0C0C"/>
          <w:spacing w:val="-5"/>
          <w:sz w:val="24"/>
        </w:rPr>
        <w:t xml:space="preserve"> </w:t>
      </w:r>
      <w:r w:rsidRPr="00E43960">
        <w:rPr>
          <w:color w:val="0C0C0C"/>
          <w:sz w:val="24"/>
        </w:rPr>
        <w:t>develop</w:t>
      </w:r>
      <w:r w:rsidRPr="00E43960">
        <w:rPr>
          <w:color w:val="0C0C0C"/>
          <w:spacing w:val="1"/>
          <w:sz w:val="24"/>
        </w:rPr>
        <w:t xml:space="preserve"> </w:t>
      </w:r>
      <w:r w:rsidRPr="00E43960">
        <w:rPr>
          <w:color w:val="0C0C0C"/>
          <w:sz w:val="24"/>
        </w:rPr>
        <w:t>a</w:t>
      </w:r>
      <w:r w:rsidRPr="00E43960">
        <w:rPr>
          <w:color w:val="0C0C0C"/>
          <w:spacing w:val="-9"/>
          <w:sz w:val="24"/>
        </w:rPr>
        <w:t xml:space="preserve"> </w:t>
      </w:r>
      <w:r w:rsidRPr="00E43960">
        <w:rPr>
          <w:color w:val="0C0C0C"/>
          <w:sz w:val="24"/>
        </w:rPr>
        <w:t>rigorous,</w:t>
      </w:r>
      <w:r w:rsidRPr="00E43960">
        <w:rPr>
          <w:color w:val="0C0C0C"/>
          <w:spacing w:val="2"/>
          <w:sz w:val="24"/>
        </w:rPr>
        <w:t xml:space="preserve"> </w:t>
      </w:r>
      <w:r w:rsidRPr="00E43960">
        <w:rPr>
          <w:color w:val="0C0C0C"/>
          <w:sz w:val="24"/>
        </w:rPr>
        <w:t>multi-level,</w:t>
      </w:r>
      <w:r w:rsidRPr="00E43960">
        <w:rPr>
          <w:color w:val="0C0C0C"/>
          <w:spacing w:val="5"/>
          <w:sz w:val="24"/>
        </w:rPr>
        <w:t xml:space="preserve"> </w:t>
      </w:r>
      <w:r w:rsidRPr="00E43960">
        <w:rPr>
          <w:color w:val="0C0C0C"/>
          <w:sz w:val="24"/>
        </w:rPr>
        <w:t>qualitative</w:t>
      </w:r>
      <w:r w:rsidRPr="00E43960">
        <w:rPr>
          <w:color w:val="0C0C0C"/>
          <w:spacing w:val="7"/>
          <w:sz w:val="24"/>
        </w:rPr>
        <w:t xml:space="preserve"> </w:t>
      </w:r>
      <w:r w:rsidRPr="00E43960">
        <w:rPr>
          <w:color w:val="0C0C0C"/>
          <w:sz w:val="24"/>
        </w:rPr>
        <w:t>and</w:t>
      </w:r>
      <w:r w:rsidRPr="00E43960">
        <w:rPr>
          <w:color w:val="0C0C0C"/>
          <w:spacing w:val="-5"/>
          <w:sz w:val="24"/>
        </w:rPr>
        <w:t xml:space="preserve"> </w:t>
      </w:r>
      <w:r w:rsidRPr="00E43960">
        <w:rPr>
          <w:color w:val="0C0C0C"/>
          <w:spacing w:val="-2"/>
          <w:sz w:val="24"/>
        </w:rPr>
        <w:t>quantitative</w:t>
      </w:r>
      <w:r w:rsidR="00E43960" w:rsidRPr="00E43960">
        <w:rPr>
          <w:color w:val="0C0C0C"/>
          <w:spacing w:val="-2"/>
          <w:sz w:val="24"/>
        </w:rPr>
        <w:t xml:space="preserve"> </w:t>
      </w:r>
      <w:r w:rsidRPr="00E43960">
        <w:rPr>
          <w:color w:val="0E0E0E"/>
          <w:w w:val="105"/>
          <w:sz w:val="23"/>
        </w:rPr>
        <w:t xml:space="preserve">process to </w:t>
      </w:r>
      <w:r w:rsidRPr="00E43960">
        <w:rPr>
          <w:color w:val="0E0E0E"/>
          <w:w w:val="105"/>
          <w:sz w:val="23"/>
        </w:rPr>
        <w:lastRenderedPageBreak/>
        <w:t>evaluate the merits of each sabbatical proposal as</w:t>
      </w:r>
      <w:r w:rsidRPr="00E43960">
        <w:rPr>
          <w:color w:val="0E0E0E"/>
          <w:spacing w:val="-1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a</w:t>
      </w:r>
      <w:r w:rsidRPr="00E43960">
        <w:rPr>
          <w:color w:val="0E0E0E"/>
          <w:spacing w:val="-2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substantive professional</w:t>
      </w:r>
      <w:r w:rsidRPr="00E43960">
        <w:rPr>
          <w:color w:val="0E0E0E"/>
          <w:spacing w:val="-5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 xml:space="preserve">development </w:t>
      </w:r>
      <w:r w:rsidRPr="00E43960">
        <w:rPr>
          <w:b/>
          <w:bCs/>
          <w:color w:val="0E0E0E"/>
          <w:w w:val="105"/>
          <w:sz w:val="23"/>
        </w:rPr>
        <w:t>project</w:t>
      </w:r>
      <w:r w:rsidRPr="00E43960">
        <w:rPr>
          <w:color w:val="0E0E0E"/>
          <w:w w:val="105"/>
          <w:sz w:val="23"/>
        </w:rPr>
        <w:t>.</w:t>
      </w:r>
      <w:r w:rsidRPr="00E43960">
        <w:rPr>
          <w:color w:val="0E0E0E"/>
          <w:spacing w:val="-12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This</w:t>
      </w:r>
      <w:r w:rsidRPr="00E43960">
        <w:rPr>
          <w:color w:val="0E0E0E"/>
          <w:spacing w:val="-15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process</w:t>
      </w:r>
      <w:r w:rsidRPr="00E43960">
        <w:rPr>
          <w:color w:val="0E0E0E"/>
          <w:spacing w:val="-10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should</w:t>
      </w:r>
      <w:r w:rsidRPr="00E43960">
        <w:rPr>
          <w:color w:val="0E0E0E"/>
          <w:spacing w:val="-3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include</w:t>
      </w:r>
      <w:r w:rsidRPr="00E43960">
        <w:rPr>
          <w:color w:val="0E0E0E"/>
          <w:spacing w:val="-13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a</w:t>
      </w:r>
      <w:r w:rsidRPr="00E43960">
        <w:rPr>
          <w:color w:val="0E0E0E"/>
          <w:spacing w:val="-16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written</w:t>
      </w:r>
      <w:r w:rsidRPr="00E43960">
        <w:rPr>
          <w:color w:val="0E0E0E"/>
          <w:spacing w:val="-8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description of how sabbatical applications are evaluated and include an application scoring rubric and checklist.</w:t>
      </w:r>
      <w:r w:rsidRPr="00E43960">
        <w:rPr>
          <w:color w:val="0E0E0E"/>
          <w:spacing w:val="40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Additionally, each college will outline procedures for evaluating post-leave reports including a written description of how post-leave reports are evaluated and include a post-leave report scoring rubric.</w:t>
      </w:r>
      <w:r w:rsidRPr="00E43960">
        <w:rPr>
          <w:color w:val="0E0E0E"/>
          <w:spacing w:val="40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After reviewing each college's evaluation procedures for sabbatical approval and post-leave reports, the University Faculty Senate Personnel Committee, in</w:t>
      </w:r>
      <w:r w:rsidRPr="00E43960">
        <w:rPr>
          <w:color w:val="0E0E0E"/>
          <w:spacing w:val="-4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consultation with the Chief Academic Officer, will approve or deny each college's procedures and</w:t>
      </w:r>
      <w:r w:rsidRPr="00E43960">
        <w:rPr>
          <w:color w:val="0E0E0E"/>
          <w:spacing w:val="-6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verify</w:t>
      </w:r>
      <w:r w:rsidRPr="00E43960">
        <w:rPr>
          <w:color w:val="0E0E0E"/>
          <w:spacing w:val="-1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receipt of</w:t>
      </w:r>
      <w:r w:rsidRPr="00E43960">
        <w:rPr>
          <w:color w:val="0E0E0E"/>
          <w:spacing w:val="-5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its</w:t>
      </w:r>
      <w:r w:rsidRPr="00E43960">
        <w:rPr>
          <w:color w:val="0E0E0E"/>
          <w:spacing w:val="-1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post-leave reports. Upon receipt of</w:t>
      </w:r>
      <w:r w:rsidRPr="00E43960">
        <w:rPr>
          <w:color w:val="0E0E0E"/>
          <w:spacing w:val="-9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sabbatical applications, the</w:t>
      </w:r>
      <w:r w:rsidRPr="00E43960">
        <w:rPr>
          <w:color w:val="0E0E0E"/>
          <w:spacing w:val="-1"/>
          <w:w w:val="105"/>
          <w:sz w:val="23"/>
        </w:rPr>
        <w:t xml:space="preserve"> </w:t>
      </w:r>
      <w:r w:rsidRPr="00E43960">
        <w:rPr>
          <w:color w:val="0E0E0E"/>
          <w:w w:val="105"/>
          <w:sz w:val="23"/>
        </w:rPr>
        <w:t>University Faculty Personnel Committee will review applications and make approval or denial recommendations to the Chief Academic Officer.</w:t>
      </w:r>
    </w:p>
    <w:p w14:paraId="63D3EE18" w14:textId="77777777" w:rsidR="00031487" w:rsidRDefault="00031487" w:rsidP="00031487">
      <w:pPr>
        <w:pStyle w:val="ListParagraph"/>
        <w:widowControl w:val="0"/>
        <w:numPr>
          <w:ilvl w:val="2"/>
          <w:numId w:val="14"/>
        </w:numPr>
        <w:tabs>
          <w:tab w:val="left" w:pos="955"/>
        </w:tabs>
        <w:autoSpaceDE w:val="0"/>
        <w:autoSpaceDN w:val="0"/>
        <w:spacing w:before="263" w:after="0" w:line="252" w:lineRule="auto"/>
        <w:ind w:right="170"/>
        <w:contextualSpacing w:val="0"/>
        <w:rPr>
          <w:sz w:val="23"/>
        </w:rPr>
      </w:pPr>
      <w:r>
        <w:rPr>
          <w:color w:val="0E0E0E"/>
          <w:w w:val="105"/>
          <w:sz w:val="23"/>
        </w:rPr>
        <w:t>Faculty members will submit their application for sabbatical leave in the next academic year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to their immediate supervisors by September 1</w:t>
      </w:r>
      <w:r>
        <w:rPr>
          <w:color w:val="0E0E0E"/>
          <w:spacing w:val="-8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 the following business day.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Immediate supervisors will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have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two</w:t>
      </w:r>
      <w:r>
        <w:rPr>
          <w:color w:val="0E0E0E"/>
          <w:spacing w:val="-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weeks</w:t>
      </w:r>
      <w:r>
        <w:rPr>
          <w:color w:val="0E0E0E"/>
          <w:spacing w:val="-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review applications and make</w:t>
      </w:r>
      <w:r>
        <w:rPr>
          <w:color w:val="0E0E0E"/>
          <w:spacing w:val="-1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written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recommendations</w:t>
      </w:r>
      <w:r>
        <w:rPr>
          <w:color w:val="0E0E0E"/>
          <w:spacing w:val="-1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(based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on</w:t>
      </w:r>
      <w:r>
        <w:rPr>
          <w:color w:val="0E0E0E"/>
          <w:spacing w:val="-1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approved scoring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mechanisms described in 4.2) to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their College Deans by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September 15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 the next business day. Deans will then prepare these sabbatical applications to be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distributed to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 College-level Faculty Personnel Committees who will review and evaluate applications based approved scoring mechanisms described in 4.2 and provide a written recommendation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to their respective Dean by October 1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 the next business day. Deans will review the sabbatical application packets and recommendations</w:t>
      </w:r>
      <w:r>
        <w:rPr>
          <w:color w:val="0E0E0E"/>
          <w:spacing w:val="-1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made by immediate supervisors and College-level Faculty Personnel Committees, will make their own written recommendations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(based on approved scoring mechanisms described in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4.2) and forward those, along with all previous recommendations, scoring rubrics, and sabbatical application packets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Chief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Academic Officer, or designee by October 15 or the next business day. The Chief Academic Officer or designee will prepare sabbatical application packets (including prior recommendations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and scoring rubrics) and forward them to the University Faculty Personnel Committee by November 1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 the next business day. The University Faculty Personnel Committee will review all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application materials, previous scoring rubrics, and recommendations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and prepare a written recommendation to the Chief Academic Officer by December 1 or the next business day. The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Chief Academic Officer will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review all sabbatical application packets (including scoring rubrics and previous recommendations)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and will make a recommendation</w:t>
      </w:r>
      <w:r>
        <w:rPr>
          <w:color w:val="0E0E0E"/>
          <w:spacing w:val="-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to the University President by January 15 or the next business day. Each step of this process is independent of</w:t>
      </w:r>
      <w:r>
        <w:rPr>
          <w:color w:val="0E0E0E"/>
          <w:spacing w:val="-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other. Following the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leave, faculty members will have 30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days to complete a comprehensive post-leave report.</w:t>
      </w:r>
    </w:p>
    <w:p w14:paraId="54620D0C" w14:textId="77777777" w:rsidR="00031487" w:rsidRDefault="00031487" w:rsidP="00031487">
      <w:pPr>
        <w:pStyle w:val="ListParagraph"/>
        <w:widowControl w:val="0"/>
        <w:numPr>
          <w:ilvl w:val="1"/>
          <w:numId w:val="14"/>
        </w:numPr>
        <w:tabs>
          <w:tab w:val="left" w:pos="965"/>
        </w:tabs>
        <w:autoSpaceDE w:val="0"/>
        <w:autoSpaceDN w:val="0"/>
        <w:spacing w:before="243" w:after="0" w:line="252" w:lineRule="auto"/>
        <w:ind w:left="965" w:right="937" w:hanging="722"/>
        <w:contextualSpacing w:val="0"/>
        <w:rPr>
          <w:color w:val="0E0E0E"/>
          <w:sz w:val="23"/>
        </w:rPr>
      </w:pPr>
      <w:r>
        <w:rPr>
          <w:color w:val="0E0E0E"/>
          <w:w w:val="105"/>
          <w:sz w:val="23"/>
        </w:rPr>
        <w:t>The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President will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issue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final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decisions on</w:t>
      </w:r>
      <w:r>
        <w:rPr>
          <w:color w:val="0E0E0E"/>
          <w:spacing w:val="-1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sabbatical leaves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by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January 29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 the next business day and will present the Board of Governors with the approved sabbatical project proposals. Faculty members will be notified of their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sabbatical application status</w:t>
      </w:r>
      <w:r>
        <w:rPr>
          <w:color w:val="0E0E0E"/>
          <w:spacing w:val="-1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within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seven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days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following the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 xml:space="preserve">President's </w:t>
      </w:r>
      <w:r>
        <w:rPr>
          <w:color w:val="0E0E0E"/>
          <w:spacing w:val="-2"/>
          <w:w w:val="105"/>
          <w:sz w:val="23"/>
        </w:rPr>
        <w:t>decision.</w:t>
      </w:r>
    </w:p>
    <w:p w14:paraId="0EFA58F6" w14:textId="77777777" w:rsidR="00031487" w:rsidRDefault="00031487" w:rsidP="00031487">
      <w:pPr>
        <w:pStyle w:val="ListParagraph"/>
        <w:spacing w:line="252" w:lineRule="auto"/>
        <w:rPr>
          <w:sz w:val="23"/>
        </w:rPr>
      </w:pPr>
    </w:p>
    <w:p w14:paraId="750A28E7" w14:textId="77777777" w:rsidR="00031487" w:rsidRDefault="00031487" w:rsidP="00031487">
      <w:pPr>
        <w:spacing w:before="64"/>
        <w:ind w:left="243"/>
        <w:rPr>
          <w:b/>
          <w:sz w:val="23"/>
        </w:rPr>
      </w:pPr>
      <w:r>
        <w:rPr>
          <w:b/>
          <w:color w:val="0C0C0C"/>
          <w:spacing w:val="-2"/>
          <w:sz w:val="23"/>
        </w:rPr>
        <w:t>Compensation:</w:t>
      </w:r>
    </w:p>
    <w:p w14:paraId="21D01124" w14:textId="77777777" w:rsidR="00031487" w:rsidRDefault="00031487" w:rsidP="00031487">
      <w:pPr>
        <w:pStyle w:val="BodyText"/>
        <w:spacing w:before="15"/>
        <w:rPr>
          <w:b/>
          <w:sz w:val="23"/>
        </w:rPr>
      </w:pPr>
    </w:p>
    <w:p w14:paraId="462E6938" w14:textId="77777777" w:rsidR="00031487" w:rsidRDefault="00031487" w:rsidP="00031487">
      <w:pPr>
        <w:pStyle w:val="ListParagraph"/>
        <w:widowControl w:val="0"/>
        <w:numPr>
          <w:ilvl w:val="1"/>
          <w:numId w:val="13"/>
        </w:numPr>
        <w:tabs>
          <w:tab w:val="left" w:pos="961"/>
          <w:tab w:val="left" w:pos="963"/>
        </w:tabs>
        <w:autoSpaceDE w:val="0"/>
        <w:autoSpaceDN w:val="0"/>
        <w:spacing w:after="0" w:line="240" w:lineRule="auto"/>
        <w:ind w:right="368" w:hanging="717"/>
        <w:contextualSpacing w:val="0"/>
        <w:rPr>
          <w:sz w:val="24"/>
        </w:rPr>
      </w:pPr>
      <w:r>
        <w:rPr>
          <w:color w:val="0C0C0C"/>
          <w:sz w:val="24"/>
        </w:rPr>
        <w:t>Sabbaticals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for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faculty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on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nine-month contracts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may</w:t>
      </w:r>
      <w:r>
        <w:rPr>
          <w:color w:val="0C0C0C"/>
          <w:spacing w:val="-6"/>
          <w:sz w:val="24"/>
        </w:rPr>
        <w:t xml:space="preserve"> </w:t>
      </w:r>
      <w:r>
        <w:rPr>
          <w:color w:val="1C1C1C"/>
          <w:sz w:val="24"/>
        </w:rPr>
        <w:t>span</w:t>
      </w:r>
      <w:r>
        <w:rPr>
          <w:color w:val="1C1C1C"/>
          <w:spacing w:val="-6"/>
          <w:sz w:val="24"/>
        </w:rPr>
        <w:t xml:space="preserve"> </w:t>
      </w:r>
      <w:r>
        <w:rPr>
          <w:color w:val="0C0C0C"/>
          <w:sz w:val="24"/>
        </w:rPr>
        <w:t>either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one-half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or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one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 xml:space="preserve">full academic year (fall and/or </w:t>
      </w:r>
      <w:r>
        <w:rPr>
          <w:color w:val="1C1C1C"/>
          <w:sz w:val="24"/>
        </w:rPr>
        <w:t xml:space="preserve">spring </w:t>
      </w:r>
      <w:r>
        <w:rPr>
          <w:color w:val="0C0C0C"/>
          <w:sz w:val="24"/>
        </w:rPr>
        <w:t>terms).</w:t>
      </w:r>
      <w:r>
        <w:rPr>
          <w:color w:val="0C0C0C"/>
          <w:spacing w:val="40"/>
          <w:sz w:val="24"/>
        </w:rPr>
        <w:t xml:space="preserve"> </w:t>
      </w:r>
      <w:r>
        <w:rPr>
          <w:color w:val="0C0C0C"/>
          <w:sz w:val="24"/>
        </w:rPr>
        <w:t>Sabbaticals for faculty on twelve-month contracts may span a period of either six or twelve months.</w:t>
      </w:r>
      <w:r>
        <w:rPr>
          <w:color w:val="0C0C0C"/>
          <w:spacing w:val="40"/>
          <w:sz w:val="24"/>
        </w:rPr>
        <w:t xml:space="preserve"> </w:t>
      </w:r>
      <w:r>
        <w:rPr>
          <w:color w:val="0C0C0C"/>
          <w:sz w:val="24"/>
        </w:rPr>
        <w:t xml:space="preserve">A faculty member on sabbatical leave will receive full base salary for no more than one- half of the contract period or half base salary </w:t>
      </w:r>
      <w:r>
        <w:rPr>
          <w:color w:val="0C0C0C"/>
          <w:sz w:val="24"/>
        </w:rPr>
        <w:lastRenderedPageBreak/>
        <w:t>for no more than the full contract period.</w:t>
      </w:r>
    </w:p>
    <w:p w14:paraId="7D876CB2" w14:textId="77777777" w:rsidR="00031487" w:rsidRDefault="00031487" w:rsidP="00031487">
      <w:pPr>
        <w:pStyle w:val="BodyText"/>
      </w:pPr>
    </w:p>
    <w:p w14:paraId="4F61E352" w14:textId="77777777" w:rsidR="00031487" w:rsidRDefault="00031487" w:rsidP="00031487">
      <w:pPr>
        <w:pStyle w:val="BodyText"/>
        <w:spacing w:before="9"/>
      </w:pPr>
    </w:p>
    <w:p w14:paraId="795AA7F6" w14:textId="77777777" w:rsidR="00031487" w:rsidRDefault="00031487" w:rsidP="00031487">
      <w:pPr>
        <w:ind w:left="243"/>
        <w:rPr>
          <w:b/>
          <w:sz w:val="23"/>
        </w:rPr>
      </w:pPr>
      <w:r>
        <w:rPr>
          <w:b/>
          <w:color w:val="0C0C0C"/>
          <w:w w:val="105"/>
          <w:sz w:val="23"/>
        </w:rPr>
        <w:t>Obligations</w:t>
      </w:r>
      <w:r>
        <w:rPr>
          <w:b/>
          <w:color w:val="0C0C0C"/>
          <w:spacing w:val="-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of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Faculty</w:t>
      </w:r>
      <w:r>
        <w:rPr>
          <w:b/>
          <w:color w:val="0C0C0C"/>
          <w:spacing w:val="-6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Member:</w:t>
      </w:r>
    </w:p>
    <w:p w14:paraId="25EA8D24" w14:textId="77777777" w:rsidR="00031487" w:rsidRDefault="00031487" w:rsidP="00031487">
      <w:pPr>
        <w:pStyle w:val="BodyText"/>
        <w:spacing w:before="14"/>
        <w:rPr>
          <w:b/>
          <w:sz w:val="23"/>
        </w:rPr>
      </w:pPr>
    </w:p>
    <w:p w14:paraId="323572D3" w14:textId="77777777" w:rsidR="00031487" w:rsidRDefault="00031487" w:rsidP="00031487">
      <w:pPr>
        <w:pStyle w:val="ListParagraph"/>
        <w:widowControl w:val="0"/>
        <w:numPr>
          <w:ilvl w:val="1"/>
          <w:numId w:val="12"/>
        </w:numPr>
        <w:tabs>
          <w:tab w:val="left" w:pos="963"/>
        </w:tabs>
        <w:autoSpaceDE w:val="0"/>
        <w:autoSpaceDN w:val="0"/>
        <w:spacing w:before="1" w:after="0" w:line="242" w:lineRule="auto"/>
        <w:ind w:right="755"/>
        <w:contextualSpacing w:val="0"/>
        <w:rPr>
          <w:sz w:val="24"/>
        </w:rPr>
      </w:pPr>
      <w:r>
        <w:rPr>
          <w:color w:val="0C0C0C"/>
          <w:sz w:val="24"/>
        </w:rPr>
        <w:t>Each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applicant</w:t>
      </w:r>
      <w:r>
        <w:rPr>
          <w:color w:val="0C0C0C"/>
          <w:spacing w:val="-3"/>
          <w:sz w:val="24"/>
        </w:rPr>
        <w:t xml:space="preserve"> </w:t>
      </w:r>
      <w:r>
        <w:rPr>
          <w:color w:val="1C1C1C"/>
          <w:sz w:val="24"/>
        </w:rPr>
        <w:t>will</w:t>
      </w:r>
      <w:r>
        <w:rPr>
          <w:color w:val="1C1C1C"/>
          <w:spacing w:val="-15"/>
          <w:sz w:val="24"/>
        </w:rPr>
        <w:t xml:space="preserve"> </w:t>
      </w:r>
      <w:r>
        <w:rPr>
          <w:color w:val="0C0C0C"/>
          <w:sz w:val="24"/>
        </w:rPr>
        <w:t>submit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an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application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that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follows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procedures as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established under 4.2.1.</w:t>
      </w:r>
    </w:p>
    <w:p w14:paraId="4782CCD6" w14:textId="77777777" w:rsidR="00031487" w:rsidRDefault="00031487" w:rsidP="00031487">
      <w:pPr>
        <w:pStyle w:val="ListParagraph"/>
        <w:widowControl w:val="0"/>
        <w:numPr>
          <w:ilvl w:val="1"/>
          <w:numId w:val="12"/>
        </w:numPr>
        <w:tabs>
          <w:tab w:val="left" w:pos="962"/>
          <w:tab w:val="left" w:pos="964"/>
        </w:tabs>
        <w:autoSpaceDE w:val="0"/>
        <w:autoSpaceDN w:val="0"/>
        <w:spacing w:before="274" w:after="0" w:line="240" w:lineRule="auto"/>
        <w:ind w:left="964" w:right="375" w:hanging="724"/>
        <w:contextualSpacing w:val="0"/>
        <w:rPr>
          <w:sz w:val="24"/>
        </w:rPr>
      </w:pPr>
      <w:r>
        <w:rPr>
          <w:color w:val="0C0C0C"/>
          <w:sz w:val="24"/>
        </w:rPr>
        <w:t>In accepting sabbatical</w:t>
      </w:r>
      <w:r>
        <w:rPr>
          <w:color w:val="0C0C0C"/>
          <w:spacing w:val="27"/>
          <w:sz w:val="24"/>
        </w:rPr>
        <w:t xml:space="preserve"> </w:t>
      </w:r>
      <w:r>
        <w:rPr>
          <w:color w:val="0C0C0C"/>
          <w:sz w:val="24"/>
        </w:rPr>
        <w:t>leave, a faculty member</w:t>
      </w:r>
      <w:r>
        <w:rPr>
          <w:color w:val="0C0C0C"/>
          <w:spacing w:val="24"/>
          <w:sz w:val="24"/>
        </w:rPr>
        <w:t xml:space="preserve"> </w:t>
      </w:r>
      <w:r>
        <w:rPr>
          <w:color w:val="0C0C0C"/>
          <w:sz w:val="24"/>
        </w:rPr>
        <w:t>will sign a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statement indicating that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they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are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aware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agree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all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conditions of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leave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as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specified therein.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If conditions prevailing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in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institution at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time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require it,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those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conditions can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 xml:space="preserve">be renegotiated among the faculty </w:t>
      </w:r>
      <w:proofErr w:type="gramStart"/>
      <w:r>
        <w:rPr>
          <w:color w:val="0C0C0C"/>
          <w:sz w:val="24"/>
        </w:rPr>
        <w:t>member</w:t>
      </w:r>
      <w:proofErr w:type="gramEnd"/>
      <w:r>
        <w:rPr>
          <w:color w:val="0C0C0C"/>
          <w:sz w:val="24"/>
        </w:rPr>
        <w:t xml:space="preserve">, their chair, dean, and Chief Academic </w:t>
      </w:r>
      <w:r>
        <w:rPr>
          <w:color w:val="0C0C0C"/>
          <w:spacing w:val="-2"/>
          <w:sz w:val="24"/>
        </w:rPr>
        <w:t>Officer.</w:t>
      </w:r>
    </w:p>
    <w:p w14:paraId="7FF912D1" w14:textId="77777777" w:rsidR="00031487" w:rsidRDefault="00031487" w:rsidP="00031487">
      <w:pPr>
        <w:pStyle w:val="BodyText"/>
        <w:spacing w:before="1"/>
      </w:pPr>
    </w:p>
    <w:p w14:paraId="1153DD68" w14:textId="77777777" w:rsidR="00031487" w:rsidRDefault="00031487" w:rsidP="00031487">
      <w:pPr>
        <w:pStyle w:val="ListParagraph"/>
        <w:widowControl w:val="0"/>
        <w:numPr>
          <w:ilvl w:val="1"/>
          <w:numId w:val="12"/>
        </w:numPr>
        <w:tabs>
          <w:tab w:val="left" w:pos="964"/>
        </w:tabs>
        <w:autoSpaceDE w:val="0"/>
        <w:autoSpaceDN w:val="0"/>
        <w:spacing w:before="1" w:after="0" w:line="240" w:lineRule="auto"/>
        <w:ind w:left="964" w:right="839" w:hanging="723"/>
        <w:contextualSpacing w:val="0"/>
        <w:rPr>
          <w:sz w:val="24"/>
        </w:rPr>
      </w:pPr>
      <w:r>
        <w:rPr>
          <w:color w:val="0C0C0C"/>
          <w:sz w:val="24"/>
        </w:rPr>
        <w:t>While on sabbatical leave, a faculty member may not accept remunerative employment</w:t>
      </w:r>
      <w:r>
        <w:rPr>
          <w:color w:val="0C0C0C"/>
          <w:spacing w:val="37"/>
          <w:sz w:val="24"/>
        </w:rPr>
        <w:t xml:space="preserve"> </w:t>
      </w:r>
      <w:r>
        <w:rPr>
          <w:color w:val="0C0C0C"/>
          <w:sz w:val="24"/>
        </w:rPr>
        <w:t>without the written consent of the President or representative. Fellowships,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grants,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assistantships,</w:t>
      </w:r>
      <w:r>
        <w:rPr>
          <w:color w:val="0C0C0C"/>
          <w:spacing w:val="-15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7"/>
          <w:sz w:val="24"/>
        </w:rPr>
        <w:t xml:space="preserve"> </w:t>
      </w:r>
      <w:r>
        <w:rPr>
          <w:color w:val="1C1C1C"/>
          <w:sz w:val="24"/>
        </w:rPr>
        <w:t>similar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stipends</w:t>
      </w:r>
      <w:r>
        <w:rPr>
          <w:color w:val="1C1C1C"/>
          <w:spacing w:val="-9"/>
          <w:sz w:val="24"/>
        </w:rPr>
        <w:t xml:space="preserve"> </w:t>
      </w:r>
      <w:r>
        <w:rPr>
          <w:color w:val="0C0C0C"/>
          <w:sz w:val="24"/>
        </w:rPr>
        <w:t>shall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not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be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considered remunerative employment.</w:t>
      </w:r>
    </w:p>
    <w:p w14:paraId="59618D76" w14:textId="77777777" w:rsidR="00031487" w:rsidRDefault="00031487" w:rsidP="00031487">
      <w:pPr>
        <w:pStyle w:val="BodyText"/>
        <w:spacing w:before="4"/>
      </w:pPr>
    </w:p>
    <w:p w14:paraId="0E7CC7EE" w14:textId="77777777" w:rsidR="00031487" w:rsidRDefault="00031487" w:rsidP="00031487">
      <w:pPr>
        <w:pStyle w:val="ListParagraph"/>
        <w:widowControl w:val="0"/>
        <w:numPr>
          <w:ilvl w:val="1"/>
          <w:numId w:val="12"/>
        </w:numPr>
        <w:tabs>
          <w:tab w:val="left" w:pos="964"/>
          <w:tab w:val="left" w:pos="967"/>
        </w:tabs>
        <w:autoSpaceDE w:val="0"/>
        <w:autoSpaceDN w:val="0"/>
        <w:spacing w:after="0" w:line="240" w:lineRule="auto"/>
        <w:ind w:left="964" w:right="1054" w:hanging="723"/>
        <w:contextualSpacing w:val="0"/>
        <w:rPr>
          <w:sz w:val="24"/>
        </w:rPr>
      </w:pPr>
      <w:r>
        <w:rPr>
          <w:color w:val="0C0C0C"/>
          <w:sz w:val="24"/>
        </w:rPr>
        <w:t>Upon completion of a sabbatical leave the faculty member will submit to their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immediate supervisor, Dean,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Chief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Academic Officer,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President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or their designees a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comprehensive post-leave report. These reports will be evaluated at the College Level based on approved post-leave report evaluation mechanisms (established under 4.2</w:t>
      </w:r>
      <w:proofErr w:type="gramStart"/>
      <w:r>
        <w:rPr>
          <w:color w:val="0C0C0C"/>
          <w:sz w:val="24"/>
        </w:rPr>
        <w:t>)..</w:t>
      </w:r>
      <w:proofErr w:type="gramEnd"/>
    </w:p>
    <w:p w14:paraId="640EA3B1" w14:textId="77777777" w:rsidR="00031487" w:rsidRDefault="00031487" w:rsidP="00031487">
      <w:pPr>
        <w:pStyle w:val="BodyText"/>
        <w:spacing w:before="2"/>
      </w:pPr>
    </w:p>
    <w:p w14:paraId="20AA99EA" w14:textId="77777777" w:rsidR="00031487" w:rsidRDefault="00031487" w:rsidP="00031487">
      <w:pPr>
        <w:pStyle w:val="ListParagraph"/>
        <w:widowControl w:val="0"/>
        <w:numPr>
          <w:ilvl w:val="1"/>
          <w:numId w:val="12"/>
        </w:numPr>
        <w:tabs>
          <w:tab w:val="left" w:pos="964"/>
          <w:tab w:val="left" w:pos="966"/>
        </w:tabs>
        <w:autoSpaceDE w:val="0"/>
        <w:autoSpaceDN w:val="0"/>
        <w:spacing w:after="0" w:line="240" w:lineRule="auto"/>
        <w:ind w:left="964" w:right="832" w:hanging="724"/>
        <w:contextualSpacing w:val="0"/>
        <w:rPr>
          <w:sz w:val="24"/>
        </w:rPr>
      </w:pPr>
      <w:r>
        <w:rPr>
          <w:color w:val="0C0C0C"/>
          <w:sz w:val="24"/>
        </w:rPr>
        <w:t>A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faculty member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is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obligated to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return for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a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full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contract year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service upon completion of the leave. Failure to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return will obligate the faculty member to reimburse fully the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institution for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their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total compensation received during the period of the leave.</w:t>
      </w:r>
    </w:p>
    <w:p w14:paraId="4BDF6CF7" w14:textId="77777777" w:rsidR="00031487" w:rsidRDefault="00031487" w:rsidP="00031487">
      <w:pPr>
        <w:pStyle w:val="BodyText"/>
        <w:spacing w:before="13"/>
      </w:pPr>
    </w:p>
    <w:p w14:paraId="55641A18" w14:textId="77777777" w:rsidR="00031487" w:rsidRDefault="00031487" w:rsidP="00031487">
      <w:pPr>
        <w:spacing w:before="1"/>
        <w:ind w:left="243"/>
        <w:rPr>
          <w:b/>
          <w:sz w:val="23"/>
        </w:rPr>
      </w:pPr>
      <w:r>
        <w:rPr>
          <w:b/>
          <w:color w:val="0C0C0C"/>
          <w:w w:val="105"/>
          <w:sz w:val="23"/>
        </w:rPr>
        <w:t>Obligations</w:t>
      </w:r>
      <w:r>
        <w:rPr>
          <w:b/>
          <w:color w:val="0C0C0C"/>
          <w:spacing w:val="-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of</w:t>
      </w:r>
      <w:r>
        <w:rPr>
          <w:b/>
          <w:color w:val="0C0C0C"/>
          <w:spacing w:val="-1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11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University:</w:t>
      </w:r>
    </w:p>
    <w:p w14:paraId="7C49E6CD" w14:textId="77777777" w:rsidR="00031487" w:rsidRDefault="00031487" w:rsidP="00031487">
      <w:pPr>
        <w:pStyle w:val="BodyText"/>
        <w:spacing w:before="16"/>
        <w:rPr>
          <w:b/>
          <w:sz w:val="23"/>
        </w:rPr>
      </w:pPr>
    </w:p>
    <w:p w14:paraId="3A284FBE" w14:textId="77777777" w:rsidR="00031487" w:rsidRDefault="00031487" w:rsidP="00031487">
      <w:pPr>
        <w:pStyle w:val="ListParagraph"/>
        <w:widowControl w:val="0"/>
        <w:numPr>
          <w:ilvl w:val="1"/>
          <w:numId w:val="11"/>
        </w:numPr>
        <w:tabs>
          <w:tab w:val="left" w:pos="964"/>
          <w:tab w:val="left" w:pos="966"/>
        </w:tabs>
        <w:autoSpaceDE w:val="0"/>
        <w:autoSpaceDN w:val="0"/>
        <w:spacing w:after="0" w:line="237" w:lineRule="auto"/>
        <w:ind w:right="745" w:hanging="722"/>
        <w:contextualSpacing w:val="0"/>
        <w:rPr>
          <w:sz w:val="24"/>
        </w:rPr>
      </w:pPr>
      <w:r>
        <w:rPr>
          <w:color w:val="0C0C0C"/>
          <w:sz w:val="24"/>
        </w:rPr>
        <w:t>A</w:t>
      </w:r>
      <w:r>
        <w:rPr>
          <w:color w:val="0C0C0C"/>
          <w:spacing w:val="-14"/>
          <w:sz w:val="24"/>
        </w:rPr>
        <w:t xml:space="preserve"> </w:t>
      </w:r>
      <w:r>
        <w:rPr>
          <w:color w:val="0C0C0C"/>
          <w:sz w:val="24"/>
        </w:rPr>
        <w:t>faculty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member's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institutional position,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status,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rank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shall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not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be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adversely affected solely by his/her absence while on sabbatical leave.</w:t>
      </w:r>
    </w:p>
    <w:p w14:paraId="0BECCC3E" w14:textId="7C6B0CE5" w:rsidR="005D226B" w:rsidRDefault="005D226B">
      <w:r>
        <w:br w:type="page"/>
      </w:r>
      <w:r w:rsidRPr="005D226B">
        <w:rPr>
          <w:noProof/>
        </w:rPr>
        <w:lastRenderedPageBreak/>
        <w:drawing>
          <wp:inline distT="0" distB="0" distL="0" distR="0" wp14:anchorId="4F1E413E" wp14:editId="682471F6">
            <wp:extent cx="6858000" cy="8242935"/>
            <wp:effectExtent l="0" t="0" r="0" b="0"/>
            <wp:docPr id="2028260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4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BB1B" w14:textId="77777777" w:rsidR="005D226B" w:rsidRDefault="005D226B">
      <w:r>
        <w:br w:type="page"/>
      </w:r>
    </w:p>
    <w:p w14:paraId="6B7FFA47" w14:textId="443B82ED" w:rsidR="005D226B" w:rsidRDefault="005D226B">
      <w:r w:rsidRPr="005D226B">
        <w:rPr>
          <w:noProof/>
        </w:rPr>
        <w:lastRenderedPageBreak/>
        <w:drawing>
          <wp:inline distT="0" distB="0" distL="0" distR="0" wp14:anchorId="2E7363D7" wp14:editId="35F979C5">
            <wp:extent cx="6858000" cy="8911590"/>
            <wp:effectExtent l="0" t="0" r="0" b="3810"/>
            <wp:docPr id="2633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5D226B">
        <w:rPr>
          <w:noProof/>
        </w:rPr>
        <w:lastRenderedPageBreak/>
        <w:drawing>
          <wp:inline distT="0" distB="0" distL="0" distR="0" wp14:anchorId="56E0DD9D" wp14:editId="63E53049">
            <wp:extent cx="6400800" cy="8972550"/>
            <wp:effectExtent l="0" t="0" r="0" b="0"/>
            <wp:docPr id="10101508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26B" w:rsidSect="005C4AC4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E3FD" w14:textId="77777777" w:rsidR="001418FB" w:rsidRDefault="001418FB" w:rsidP="00404DF1">
      <w:pPr>
        <w:spacing w:after="0" w:line="240" w:lineRule="auto"/>
      </w:pPr>
      <w:r>
        <w:separator/>
      </w:r>
    </w:p>
  </w:endnote>
  <w:endnote w:type="continuationSeparator" w:id="0">
    <w:p w14:paraId="42486B4A" w14:textId="77777777" w:rsidR="001418FB" w:rsidRDefault="001418FB" w:rsidP="0040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93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76873" w14:textId="44605081" w:rsidR="00404DF1" w:rsidRDefault="00404D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24BBB8" w14:textId="453951E4" w:rsidR="00D86117" w:rsidRDefault="00D8611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B274" w14:textId="77777777" w:rsidR="001418FB" w:rsidRDefault="001418FB" w:rsidP="00404DF1">
      <w:pPr>
        <w:spacing w:after="0" w:line="240" w:lineRule="auto"/>
      </w:pPr>
      <w:r>
        <w:separator/>
      </w:r>
    </w:p>
  </w:footnote>
  <w:footnote w:type="continuationSeparator" w:id="0">
    <w:p w14:paraId="2BDD4FE9" w14:textId="77777777" w:rsidR="001418FB" w:rsidRDefault="001418FB" w:rsidP="0040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15165"/>
    <w:multiLevelType w:val="hybridMultilevel"/>
    <w:tmpl w:val="900E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74AED"/>
    <w:multiLevelType w:val="multilevel"/>
    <w:tmpl w:val="435237B8"/>
    <w:lvl w:ilvl="0">
      <w:start w:val="6"/>
      <w:numFmt w:val="decimal"/>
      <w:lvlText w:val="%1"/>
      <w:lvlJc w:val="left"/>
      <w:pPr>
        <w:ind w:left="963" w:hanging="72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3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7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7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722"/>
      </w:pPr>
      <w:rPr>
        <w:rFonts w:hint="default"/>
        <w:lang w:val="en-US" w:eastAsia="en-US" w:bidi="ar-SA"/>
      </w:rPr>
    </w:lvl>
  </w:abstractNum>
  <w:abstractNum w:abstractNumId="11" w15:restartNumberingAfterBreak="0">
    <w:nsid w:val="10EA1353"/>
    <w:multiLevelType w:val="hybridMultilevel"/>
    <w:tmpl w:val="2986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86B60"/>
    <w:multiLevelType w:val="hybridMultilevel"/>
    <w:tmpl w:val="2158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611AE"/>
    <w:multiLevelType w:val="multilevel"/>
    <w:tmpl w:val="C3E6E724"/>
    <w:lvl w:ilvl="0">
      <w:start w:val="4"/>
      <w:numFmt w:val="decimal"/>
      <w:lvlText w:val="%1"/>
      <w:lvlJc w:val="left"/>
      <w:pPr>
        <w:ind w:left="961" w:hanging="72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1" w:hanging="725"/>
      </w:pPr>
      <w:rPr>
        <w:rFonts w:hint="default"/>
        <w:spacing w:val="0"/>
        <w:w w:val="10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5" w:hanging="8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4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480" w:hanging="8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8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8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8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8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813"/>
      </w:pPr>
      <w:rPr>
        <w:rFonts w:hint="default"/>
        <w:lang w:val="en-US" w:eastAsia="en-US" w:bidi="ar-SA"/>
      </w:rPr>
    </w:lvl>
  </w:abstractNum>
  <w:abstractNum w:abstractNumId="14" w15:restartNumberingAfterBreak="0">
    <w:nsid w:val="4879132C"/>
    <w:multiLevelType w:val="multilevel"/>
    <w:tmpl w:val="666243BE"/>
    <w:lvl w:ilvl="0">
      <w:start w:val="1"/>
      <w:numFmt w:val="decimal"/>
      <w:lvlText w:val="%1"/>
      <w:lvlJc w:val="left"/>
      <w:pPr>
        <w:ind w:left="96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EB965A0"/>
    <w:multiLevelType w:val="hybridMultilevel"/>
    <w:tmpl w:val="95A8C4A2"/>
    <w:lvl w:ilvl="0" w:tplc="3122749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F87F3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D3B8AFB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B48E209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0A549188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A890169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D868C0CA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9A5892D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B22CCF16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70A6426"/>
    <w:multiLevelType w:val="multilevel"/>
    <w:tmpl w:val="88F82B96"/>
    <w:lvl w:ilvl="0">
      <w:start w:val="2"/>
      <w:numFmt w:val="decimal"/>
      <w:lvlText w:val="%1"/>
      <w:lvlJc w:val="left"/>
      <w:pPr>
        <w:ind w:left="964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58F60CA8"/>
    <w:multiLevelType w:val="multilevel"/>
    <w:tmpl w:val="87EE2FCC"/>
    <w:lvl w:ilvl="0">
      <w:start w:val="5"/>
      <w:numFmt w:val="decimal"/>
      <w:lvlText w:val="%1"/>
      <w:lvlJc w:val="left"/>
      <w:pPr>
        <w:ind w:left="961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1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6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718"/>
      </w:pPr>
      <w:rPr>
        <w:rFonts w:hint="default"/>
        <w:lang w:val="en-US" w:eastAsia="en-US" w:bidi="ar-SA"/>
      </w:rPr>
    </w:lvl>
  </w:abstractNum>
  <w:abstractNum w:abstractNumId="18" w15:restartNumberingAfterBreak="0">
    <w:nsid w:val="602F2FAD"/>
    <w:multiLevelType w:val="multilevel"/>
    <w:tmpl w:val="83C20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C0C0C"/>
        <w:sz w:val="24"/>
      </w:rPr>
    </w:lvl>
    <w:lvl w:ilvl="1">
      <w:start w:val="2"/>
      <w:numFmt w:val="decimal"/>
      <w:lvlText w:val="%1.%2"/>
      <w:lvlJc w:val="left"/>
      <w:pPr>
        <w:ind w:left="1325" w:hanging="360"/>
      </w:pPr>
      <w:rPr>
        <w:rFonts w:hint="default"/>
        <w:color w:val="0C0C0C"/>
        <w:sz w:val="24"/>
      </w:rPr>
    </w:lvl>
    <w:lvl w:ilvl="2">
      <w:start w:val="1"/>
      <w:numFmt w:val="decimal"/>
      <w:lvlText w:val="%1.%2.%3"/>
      <w:lvlJc w:val="left"/>
      <w:pPr>
        <w:ind w:left="2650" w:hanging="720"/>
      </w:pPr>
      <w:rPr>
        <w:rFonts w:hint="default"/>
        <w:color w:val="0C0C0C"/>
        <w:sz w:val="24"/>
      </w:rPr>
    </w:lvl>
    <w:lvl w:ilvl="3">
      <w:start w:val="1"/>
      <w:numFmt w:val="decimal"/>
      <w:lvlText w:val="%1.%2.%3.%4"/>
      <w:lvlJc w:val="left"/>
      <w:pPr>
        <w:ind w:left="3615" w:hanging="720"/>
      </w:pPr>
      <w:rPr>
        <w:rFonts w:hint="default"/>
        <w:color w:val="0C0C0C"/>
        <w:sz w:val="24"/>
      </w:rPr>
    </w:lvl>
    <w:lvl w:ilvl="4">
      <w:start w:val="1"/>
      <w:numFmt w:val="decimal"/>
      <w:lvlText w:val="%1.%2.%3.%4.%5"/>
      <w:lvlJc w:val="left"/>
      <w:pPr>
        <w:ind w:left="4940" w:hanging="1080"/>
      </w:pPr>
      <w:rPr>
        <w:rFonts w:hint="default"/>
        <w:color w:val="0C0C0C"/>
        <w:sz w:val="24"/>
      </w:rPr>
    </w:lvl>
    <w:lvl w:ilvl="5">
      <w:start w:val="1"/>
      <w:numFmt w:val="decimal"/>
      <w:lvlText w:val="%1.%2.%3.%4.%5.%6"/>
      <w:lvlJc w:val="left"/>
      <w:pPr>
        <w:ind w:left="6265" w:hanging="1440"/>
      </w:pPr>
      <w:rPr>
        <w:rFonts w:hint="default"/>
        <w:color w:val="0C0C0C"/>
        <w:sz w:val="24"/>
      </w:rPr>
    </w:lvl>
    <w:lvl w:ilvl="6">
      <w:start w:val="1"/>
      <w:numFmt w:val="decimal"/>
      <w:lvlText w:val="%1.%2.%3.%4.%5.%6.%7"/>
      <w:lvlJc w:val="left"/>
      <w:pPr>
        <w:ind w:left="7230" w:hanging="1440"/>
      </w:pPr>
      <w:rPr>
        <w:rFonts w:hint="default"/>
        <w:color w:val="0C0C0C"/>
        <w:sz w:val="24"/>
      </w:rPr>
    </w:lvl>
    <w:lvl w:ilvl="7">
      <w:start w:val="1"/>
      <w:numFmt w:val="decimal"/>
      <w:lvlText w:val="%1.%2.%3.%4.%5.%6.%7.%8"/>
      <w:lvlJc w:val="left"/>
      <w:pPr>
        <w:ind w:left="8555" w:hanging="1800"/>
      </w:pPr>
      <w:rPr>
        <w:rFonts w:hint="default"/>
        <w:color w:val="0C0C0C"/>
        <w:sz w:val="24"/>
      </w:rPr>
    </w:lvl>
    <w:lvl w:ilvl="8">
      <w:start w:val="1"/>
      <w:numFmt w:val="decimal"/>
      <w:lvlText w:val="%1.%2.%3.%4.%5.%6.%7.%8.%9"/>
      <w:lvlJc w:val="left"/>
      <w:pPr>
        <w:ind w:left="9520" w:hanging="1800"/>
      </w:pPr>
      <w:rPr>
        <w:rFonts w:hint="default"/>
        <w:color w:val="0C0C0C"/>
        <w:sz w:val="24"/>
      </w:rPr>
    </w:lvl>
  </w:abstractNum>
  <w:abstractNum w:abstractNumId="19" w15:restartNumberingAfterBreak="0">
    <w:nsid w:val="682E6990"/>
    <w:multiLevelType w:val="hybridMultilevel"/>
    <w:tmpl w:val="0794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80331"/>
    <w:multiLevelType w:val="multilevel"/>
    <w:tmpl w:val="17B85FB8"/>
    <w:lvl w:ilvl="0">
      <w:start w:val="3"/>
      <w:numFmt w:val="decimal"/>
      <w:lvlText w:val="%1"/>
      <w:lvlJc w:val="left"/>
      <w:pPr>
        <w:ind w:left="964" w:hanging="72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7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7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725"/>
      </w:pPr>
      <w:rPr>
        <w:rFonts w:hint="default"/>
        <w:lang w:val="en-US" w:eastAsia="en-US" w:bidi="ar-SA"/>
      </w:rPr>
    </w:lvl>
  </w:abstractNum>
  <w:abstractNum w:abstractNumId="21" w15:restartNumberingAfterBreak="0">
    <w:nsid w:val="79EC1C65"/>
    <w:multiLevelType w:val="multilevel"/>
    <w:tmpl w:val="D4181C1A"/>
    <w:lvl w:ilvl="0">
      <w:start w:val="7"/>
      <w:numFmt w:val="decimal"/>
      <w:lvlText w:val="%1"/>
      <w:lvlJc w:val="left"/>
      <w:pPr>
        <w:ind w:left="964" w:hanging="72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4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3"/>
        <w:w w:val="101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7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724"/>
      </w:pPr>
      <w:rPr>
        <w:rFonts w:hint="default"/>
        <w:lang w:val="en-US" w:eastAsia="en-US" w:bidi="ar-SA"/>
      </w:rPr>
    </w:lvl>
  </w:abstractNum>
  <w:num w:numId="1" w16cid:durableId="1352954374">
    <w:abstractNumId w:val="8"/>
  </w:num>
  <w:num w:numId="2" w16cid:durableId="534850888">
    <w:abstractNumId w:val="6"/>
  </w:num>
  <w:num w:numId="3" w16cid:durableId="633869992">
    <w:abstractNumId w:val="5"/>
  </w:num>
  <w:num w:numId="4" w16cid:durableId="915939379">
    <w:abstractNumId w:val="4"/>
  </w:num>
  <w:num w:numId="5" w16cid:durableId="1956596033">
    <w:abstractNumId w:val="7"/>
  </w:num>
  <w:num w:numId="6" w16cid:durableId="499583555">
    <w:abstractNumId w:val="3"/>
  </w:num>
  <w:num w:numId="7" w16cid:durableId="1530021193">
    <w:abstractNumId w:val="2"/>
  </w:num>
  <w:num w:numId="8" w16cid:durableId="1547519946">
    <w:abstractNumId w:val="1"/>
  </w:num>
  <w:num w:numId="9" w16cid:durableId="515073137">
    <w:abstractNumId w:val="0"/>
  </w:num>
  <w:num w:numId="10" w16cid:durableId="2050372444">
    <w:abstractNumId w:val="11"/>
  </w:num>
  <w:num w:numId="11" w16cid:durableId="250311858">
    <w:abstractNumId w:val="21"/>
  </w:num>
  <w:num w:numId="12" w16cid:durableId="2079743387">
    <w:abstractNumId w:val="10"/>
  </w:num>
  <w:num w:numId="13" w16cid:durableId="1108816267">
    <w:abstractNumId w:val="17"/>
  </w:num>
  <w:num w:numId="14" w16cid:durableId="1741370101">
    <w:abstractNumId w:val="13"/>
  </w:num>
  <w:num w:numId="15" w16cid:durableId="889461679">
    <w:abstractNumId w:val="20"/>
  </w:num>
  <w:num w:numId="16" w16cid:durableId="350837316">
    <w:abstractNumId w:val="16"/>
  </w:num>
  <w:num w:numId="17" w16cid:durableId="230578507">
    <w:abstractNumId w:val="14"/>
  </w:num>
  <w:num w:numId="18" w16cid:durableId="730465625">
    <w:abstractNumId w:val="19"/>
  </w:num>
  <w:num w:numId="19" w16cid:durableId="849754731">
    <w:abstractNumId w:val="15"/>
  </w:num>
  <w:num w:numId="20" w16cid:durableId="152070538">
    <w:abstractNumId w:val="12"/>
  </w:num>
  <w:num w:numId="21" w16cid:durableId="1934586293">
    <w:abstractNumId w:val="9"/>
  </w:num>
  <w:num w:numId="22" w16cid:durableId="1377195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9B5"/>
    <w:rsid w:val="00031487"/>
    <w:rsid w:val="00034616"/>
    <w:rsid w:val="0006063C"/>
    <w:rsid w:val="00096C7A"/>
    <w:rsid w:val="000B7DEC"/>
    <w:rsid w:val="001418FB"/>
    <w:rsid w:val="00146B87"/>
    <w:rsid w:val="0015074B"/>
    <w:rsid w:val="001613EA"/>
    <w:rsid w:val="002056F0"/>
    <w:rsid w:val="0020752B"/>
    <w:rsid w:val="00214FF5"/>
    <w:rsid w:val="002254E5"/>
    <w:rsid w:val="00257547"/>
    <w:rsid w:val="0029639D"/>
    <w:rsid w:val="002A7BC7"/>
    <w:rsid w:val="002C7778"/>
    <w:rsid w:val="002E32CF"/>
    <w:rsid w:val="003060B4"/>
    <w:rsid w:val="00326F90"/>
    <w:rsid w:val="003C4E8D"/>
    <w:rsid w:val="00404DF1"/>
    <w:rsid w:val="00425AF9"/>
    <w:rsid w:val="00470F9A"/>
    <w:rsid w:val="00480D49"/>
    <w:rsid w:val="00481FEB"/>
    <w:rsid w:val="00495670"/>
    <w:rsid w:val="004B242E"/>
    <w:rsid w:val="004C2E1F"/>
    <w:rsid w:val="004C32BA"/>
    <w:rsid w:val="004D15AB"/>
    <w:rsid w:val="004D1CA4"/>
    <w:rsid w:val="004D35F6"/>
    <w:rsid w:val="005146B6"/>
    <w:rsid w:val="0057595B"/>
    <w:rsid w:val="00575AEB"/>
    <w:rsid w:val="00594684"/>
    <w:rsid w:val="005B3396"/>
    <w:rsid w:val="005C4AC4"/>
    <w:rsid w:val="005D226B"/>
    <w:rsid w:val="00621DE5"/>
    <w:rsid w:val="006505F8"/>
    <w:rsid w:val="00662F19"/>
    <w:rsid w:val="00672DDA"/>
    <w:rsid w:val="0069467B"/>
    <w:rsid w:val="00694FB4"/>
    <w:rsid w:val="006A03B0"/>
    <w:rsid w:val="006B08E7"/>
    <w:rsid w:val="006D79BB"/>
    <w:rsid w:val="006E40DD"/>
    <w:rsid w:val="007350B0"/>
    <w:rsid w:val="007431BA"/>
    <w:rsid w:val="007544EB"/>
    <w:rsid w:val="007967C4"/>
    <w:rsid w:val="007A5B18"/>
    <w:rsid w:val="007B1B66"/>
    <w:rsid w:val="007C58E7"/>
    <w:rsid w:val="007D10FC"/>
    <w:rsid w:val="007E19FA"/>
    <w:rsid w:val="008000CB"/>
    <w:rsid w:val="00856893"/>
    <w:rsid w:val="008B1A3C"/>
    <w:rsid w:val="009008A8"/>
    <w:rsid w:val="00977FD6"/>
    <w:rsid w:val="009802B7"/>
    <w:rsid w:val="00981060"/>
    <w:rsid w:val="00982A1A"/>
    <w:rsid w:val="009838C6"/>
    <w:rsid w:val="00984CDF"/>
    <w:rsid w:val="009B044B"/>
    <w:rsid w:val="009C3AC8"/>
    <w:rsid w:val="00A2567A"/>
    <w:rsid w:val="00AA1D8D"/>
    <w:rsid w:val="00AC2140"/>
    <w:rsid w:val="00B4320A"/>
    <w:rsid w:val="00B47730"/>
    <w:rsid w:val="00B67467"/>
    <w:rsid w:val="00BC2984"/>
    <w:rsid w:val="00C01014"/>
    <w:rsid w:val="00C47B21"/>
    <w:rsid w:val="00C56B47"/>
    <w:rsid w:val="00C67B19"/>
    <w:rsid w:val="00C8070A"/>
    <w:rsid w:val="00C9106D"/>
    <w:rsid w:val="00C93D41"/>
    <w:rsid w:val="00CA2A1C"/>
    <w:rsid w:val="00CA2ECF"/>
    <w:rsid w:val="00CB0664"/>
    <w:rsid w:val="00CC513D"/>
    <w:rsid w:val="00CD588F"/>
    <w:rsid w:val="00D0437F"/>
    <w:rsid w:val="00D2253B"/>
    <w:rsid w:val="00D25E06"/>
    <w:rsid w:val="00D316C8"/>
    <w:rsid w:val="00D54D47"/>
    <w:rsid w:val="00D72B87"/>
    <w:rsid w:val="00D86117"/>
    <w:rsid w:val="00D95935"/>
    <w:rsid w:val="00DA69A3"/>
    <w:rsid w:val="00E3797A"/>
    <w:rsid w:val="00E43960"/>
    <w:rsid w:val="00E53CEB"/>
    <w:rsid w:val="00E53D6F"/>
    <w:rsid w:val="00E55CAD"/>
    <w:rsid w:val="00E679C2"/>
    <w:rsid w:val="00E70614"/>
    <w:rsid w:val="00E71572"/>
    <w:rsid w:val="00E76694"/>
    <w:rsid w:val="00E7739E"/>
    <w:rsid w:val="00EC0BF2"/>
    <w:rsid w:val="00EE3CBA"/>
    <w:rsid w:val="00F32992"/>
    <w:rsid w:val="00F35130"/>
    <w:rsid w:val="00F35974"/>
    <w:rsid w:val="00F379CF"/>
    <w:rsid w:val="00F5673F"/>
    <w:rsid w:val="00FA550D"/>
    <w:rsid w:val="00FC693F"/>
    <w:rsid w:val="00FE032B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FA68B"/>
  <w14:defaultImageDpi w14:val="300"/>
  <w15:docId w15:val="{C0A74859-B423-483C-B56E-4F83A0D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146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shall.edu/policies/files/2024/09/MUBOG-AA-1-Sabbatical-Leave.pdf" TargetMode="External"/><Relationship Id="rId13" Type="http://schemas.openxmlformats.org/officeDocument/2006/relationships/hyperlink" Target="https://www.marshall.edu/faculty-senate/files/SLAgree-2025.1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rshall.edu/faculty-senate/files/SLRequest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shall.edu/faculty-senate/files/SLRouting-2025.11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www.marshall.edu/faculty-senate/sabbatical-leav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rshall.edu/faculty-senate/sabbatical-leave/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McCutcheon, Robin</cp:lastModifiedBy>
  <cp:revision>2</cp:revision>
  <cp:lastPrinted>2026-04-17T15:52:00Z</cp:lastPrinted>
  <dcterms:created xsi:type="dcterms:W3CDTF">2026-05-01T15:29:00Z</dcterms:created>
  <dcterms:modified xsi:type="dcterms:W3CDTF">2026-05-01T15:29:00Z</dcterms:modified>
  <cp:category/>
</cp:coreProperties>
</file>