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C2A90" w14:textId="77777777" w:rsidR="00A47F48" w:rsidRDefault="002C059C">
      <w:pPr>
        <w:pStyle w:val="Heading1"/>
      </w:pPr>
      <w:r>
        <w:t>NACUBO Functional Classifications</w:t>
      </w:r>
      <w:r>
        <w:br/>
        <w:t>Marshall University Research Corporation (MURC)</w:t>
      </w:r>
    </w:p>
    <w:p w14:paraId="21CB4068" w14:textId="77777777" w:rsidR="007733A7" w:rsidRDefault="002C059C">
      <w:r>
        <w:t>Marshall University Research Corporation (MURC) uses National Association of College and University Business Officers (NACUBO)–aligned functional classifications to support consistent, accurate financial reporting. Expenses are classified based on the primary purpose of the activity being supported.</w:t>
      </w:r>
      <w:r w:rsidR="007733A7">
        <w:t xml:space="preserve"> </w:t>
      </w:r>
    </w:p>
    <w:p w14:paraId="6409B9BE" w14:textId="137E1134" w:rsidR="00A47F48" w:rsidRDefault="007733A7">
      <w:r>
        <w:t>A non-exhaustive list of examples of each classification is included.</w:t>
      </w:r>
      <w:r>
        <w:rPr>
          <w:rStyle w:val="FootnoteReference"/>
        </w:rPr>
        <w:footnoteReference w:id="1"/>
      </w:r>
      <w:r>
        <w:t xml:space="preserve"> If you are unclear on how to classify your project, please consult your MURC Pre-award Grant Officer. </w:t>
      </w:r>
    </w:p>
    <w:p w14:paraId="6427895C" w14:textId="55E8AA23" w:rsidR="00A47F48" w:rsidRPr="002C059C" w:rsidRDefault="002C059C">
      <w:pPr>
        <w:pStyle w:val="Heading2"/>
        <w:rPr>
          <w:lang w:val="fr-FR"/>
        </w:rPr>
      </w:pPr>
      <w:r w:rsidRPr="002C059C">
        <w:rPr>
          <w:lang w:val="fr-FR"/>
        </w:rPr>
        <w:t>Functional Classification Codes (Banner “P</w:t>
      </w:r>
      <w:r>
        <w:rPr>
          <w:lang w:val="fr-FR"/>
        </w:rPr>
        <w:t>rogram Codes</w:t>
      </w:r>
      <w:r w:rsidRPr="002C059C">
        <w:rPr>
          <w:lang w:val="fr-FR"/>
        </w:rPr>
        <w:t>“</w:t>
      </w:r>
      <w:r>
        <w:rPr>
          <w:lang w:val="fr-FR"/>
        </w:rPr>
        <w:t>)</w:t>
      </w:r>
    </w:p>
    <w:p w14:paraId="6132D635" w14:textId="77777777" w:rsidR="007733A7" w:rsidRDefault="007733A7">
      <w:pPr>
        <w:pStyle w:val="ListBullet"/>
        <w:sectPr w:rsidR="007733A7" w:rsidSect="00034616">
          <w:pgSz w:w="12240" w:h="15840"/>
          <w:pgMar w:top="1440" w:right="1800" w:bottom="1440" w:left="1800" w:header="720" w:footer="720" w:gutter="0"/>
          <w:cols w:space="720"/>
          <w:docGrid w:linePitch="360"/>
        </w:sectPr>
      </w:pPr>
    </w:p>
    <w:p w14:paraId="5BCD785E" w14:textId="77777777" w:rsidR="00A47F48" w:rsidRDefault="002C059C">
      <w:pPr>
        <w:pStyle w:val="ListBullet"/>
      </w:pPr>
      <w:r>
        <w:t>0010 – Instruction</w:t>
      </w:r>
    </w:p>
    <w:p w14:paraId="748FA834" w14:textId="77777777" w:rsidR="00A47F48" w:rsidRDefault="002C059C">
      <w:pPr>
        <w:pStyle w:val="ListBullet"/>
      </w:pPr>
      <w:r>
        <w:t>0020 – Research</w:t>
      </w:r>
    </w:p>
    <w:p w14:paraId="4634CEF9" w14:textId="77777777" w:rsidR="00A47F48" w:rsidRDefault="002C059C">
      <w:pPr>
        <w:pStyle w:val="ListBullet"/>
      </w:pPr>
      <w:r>
        <w:t>0030 – Public Service</w:t>
      </w:r>
    </w:p>
    <w:p w14:paraId="72F4F880" w14:textId="77777777" w:rsidR="00A47F48" w:rsidRDefault="002C059C">
      <w:pPr>
        <w:pStyle w:val="ListBullet"/>
      </w:pPr>
      <w:r>
        <w:t>0040 – Academic Support</w:t>
      </w:r>
    </w:p>
    <w:p w14:paraId="3AEE42BB" w14:textId="77777777" w:rsidR="00A47F48" w:rsidRDefault="002C059C">
      <w:pPr>
        <w:pStyle w:val="ListBullet"/>
      </w:pPr>
      <w:r>
        <w:t>0050 – Student Services</w:t>
      </w:r>
    </w:p>
    <w:p w14:paraId="6182E011" w14:textId="77777777" w:rsidR="00A47F48" w:rsidRDefault="002C059C">
      <w:pPr>
        <w:pStyle w:val="ListBullet"/>
      </w:pPr>
      <w:r>
        <w:t>0060 – Institutional Support</w:t>
      </w:r>
    </w:p>
    <w:p w14:paraId="74DAC7BC" w14:textId="77777777" w:rsidR="00A47F48" w:rsidRDefault="002C059C">
      <w:pPr>
        <w:pStyle w:val="ListBullet"/>
      </w:pPr>
      <w:r>
        <w:t>0070 – Physical Plant Operations</w:t>
      </w:r>
    </w:p>
    <w:p w14:paraId="082D7627" w14:textId="77777777" w:rsidR="00A47F48" w:rsidRDefault="002C059C">
      <w:pPr>
        <w:pStyle w:val="ListBullet"/>
      </w:pPr>
      <w:r>
        <w:t>0080 – Student Financial Support</w:t>
      </w:r>
    </w:p>
    <w:p w14:paraId="7650A7E3" w14:textId="77777777" w:rsidR="007733A7" w:rsidRDefault="007733A7">
      <w:pPr>
        <w:pStyle w:val="Heading2"/>
        <w:sectPr w:rsidR="007733A7" w:rsidSect="007733A7">
          <w:type w:val="continuous"/>
          <w:pgSz w:w="12240" w:h="15840"/>
          <w:pgMar w:top="1440" w:right="1800" w:bottom="1440" w:left="1800" w:header="720" w:footer="720" w:gutter="0"/>
          <w:cols w:num="2" w:space="720"/>
          <w:docGrid w:linePitch="360"/>
        </w:sectPr>
      </w:pPr>
    </w:p>
    <w:p w14:paraId="531A7D93" w14:textId="77777777" w:rsidR="00A47F48" w:rsidRDefault="002C059C">
      <w:pPr>
        <w:pStyle w:val="Heading2"/>
      </w:pPr>
      <w:r>
        <w:t>0010 – Instruction</w:t>
      </w:r>
    </w:p>
    <w:p w14:paraId="3A504E37" w14:textId="77777777" w:rsidR="00A47F48" w:rsidRDefault="002C059C">
      <w:r>
        <w:t>Expenditures related to instructional and training activities that are part of an academic program or curriculum.</w:t>
      </w:r>
    </w:p>
    <w:p w14:paraId="35D55758" w14:textId="77777777" w:rsidR="00A47F48" w:rsidRDefault="002C059C">
      <w:pPr>
        <w:pStyle w:val="ListBullet2"/>
      </w:pPr>
      <w:r>
        <w:t>Credit and non-credit instructional courses</w:t>
      </w:r>
    </w:p>
    <w:p w14:paraId="548489C2" w14:textId="77777777" w:rsidR="00A47F48" w:rsidRDefault="002C059C">
      <w:pPr>
        <w:pStyle w:val="ListBullet2"/>
      </w:pPr>
      <w:r>
        <w:t>Instructional training activities tied to degree programs</w:t>
      </w:r>
    </w:p>
    <w:p w14:paraId="7BA5B98E" w14:textId="77777777" w:rsidR="00A47F48" w:rsidRDefault="002C059C">
      <w:pPr>
        <w:pStyle w:val="ListBullet2"/>
      </w:pPr>
      <w:r>
        <w:t>Faculty or staff effort devoted to teaching</w:t>
      </w:r>
    </w:p>
    <w:p w14:paraId="1FCC73E0" w14:textId="77777777" w:rsidR="00A47F48" w:rsidRDefault="002C059C">
      <w:pPr>
        <w:pStyle w:val="ListBullet2"/>
      </w:pPr>
      <w:r>
        <w:t>Instructional materials, supplies, and equipment</w:t>
      </w:r>
    </w:p>
    <w:p w14:paraId="01861273" w14:textId="77777777" w:rsidR="00A47F48" w:rsidRDefault="002C059C">
      <w:pPr>
        <w:pStyle w:val="ListBullet2"/>
      </w:pPr>
      <w:r>
        <w:t>Instructional technology budgeted at the unit or program level</w:t>
      </w:r>
    </w:p>
    <w:p w14:paraId="0F7E707D" w14:textId="77777777" w:rsidR="00A47F48" w:rsidRDefault="002C059C">
      <w:pPr>
        <w:pStyle w:val="ListBullet2"/>
      </w:pPr>
      <w:r>
        <w:t>Academic training grants supporting students working toward a degree</w:t>
      </w:r>
    </w:p>
    <w:p w14:paraId="76E1B9C8" w14:textId="77777777" w:rsidR="007733A7" w:rsidRDefault="007733A7">
      <w:pPr>
        <w:pStyle w:val="ListBullet2"/>
      </w:pPr>
      <w:r w:rsidRPr="007733A7">
        <w:t xml:space="preserve">Non-research related training and development activities </w:t>
      </w:r>
    </w:p>
    <w:p w14:paraId="1B6BAA19" w14:textId="6940D2BE" w:rsidR="007733A7" w:rsidRDefault="007733A7">
      <w:pPr>
        <w:pStyle w:val="ListBullet2"/>
      </w:pPr>
      <w:r w:rsidRPr="007733A7">
        <w:t>Non-research related conferences and workshops</w:t>
      </w:r>
    </w:p>
    <w:p w14:paraId="00AE336C" w14:textId="77777777" w:rsidR="00A47F48" w:rsidRDefault="002C059C">
      <w:pPr>
        <w:pStyle w:val="Heading2"/>
      </w:pPr>
      <w:r>
        <w:t>0020 – Research</w:t>
      </w:r>
    </w:p>
    <w:p w14:paraId="35F76434" w14:textId="77777777" w:rsidR="00A47F48" w:rsidRDefault="002C059C">
      <w:r>
        <w:t>Expenditures for activities that are formally organized and separately budgeted to produce research outcomes.</w:t>
      </w:r>
    </w:p>
    <w:p w14:paraId="418F717D" w14:textId="77777777" w:rsidR="007733A7" w:rsidRDefault="007733A7">
      <w:pPr>
        <w:pStyle w:val="ListBullet2"/>
      </w:pPr>
      <w:r w:rsidRPr="007733A7">
        <w:t xml:space="preserve">Those that involve basic, applied, or experimental research and development activities </w:t>
      </w:r>
    </w:p>
    <w:p w14:paraId="68AB8676" w14:textId="77777777" w:rsidR="007733A7" w:rsidRDefault="007733A7">
      <w:pPr>
        <w:pStyle w:val="ListBullet2"/>
      </w:pPr>
      <w:r w:rsidRPr="007733A7">
        <w:t xml:space="preserve">Undergraduate fellowship programs focused on training in research techniques </w:t>
      </w:r>
    </w:p>
    <w:p w14:paraId="51DB3FBC" w14:textId="77777777" w:rsidR="007733A7" w:rsidRDefault="007733A7">
      <w:pPr>
        <w:pStyle w:val="ListBullet2"/>
      </w:pPr>
      <w:r w:rsidRPr="007733A7">
        <w:t xml:space="preserve">Graduate/Professional fellowship programs focused on training in research techniques </w:t>
      </w:r>
    </w:p>
    <w:p w14:paraId="341D0E89" w14:textId="67B44FD4" w:rsidR="007733A7" w:rsidRDefault="007733A7">
      <w:pPr>
        <w:pStyle w:val="ListBullet2"/>
      </w:pPr>
      <w:r w:rsidRPr="007733A7">
        <w:lastRenderedPageBreak/>
        <w:t>Quality assurance/improvement studies that also intend to establish scientific evidence on the success of an intervention related to its intended purpose</w:t>
      </w:r>
    </w:p>
    <w:p w14:paraId="24E17EB9" w14:textId="77777777" w:rsidR="007733A7" w:rsidRDefault="007733A7">
      <w:pPr>
        <w:pStyle w:val="ListBullet2"/>
      </w:pPr>
      <w:r w:rsidRPr="007733A7">
        <w:t xml:space="preserve">Comparative studies designed to assess efficacy of accepted practices </w:t>
      </w:r>
    </w:p>
    <w:p w14:paraId="7995AA6B" w14:textId="77777777" w:rsidR="007733A7" w:rsidRDefault="007733A7">
      <w:pPr>
        <w:pStyle w:val="ListBullet2"/>
      </w:pPr>
      <w:r w:rsidRPr="007733A7">
        <w:t xml:space="preserve">Program evaluation studies designed to produce knowledge that extends beyond the participants/institutions involved </w:t>
      </w:r>
    </w:p>
    <w:p w14:paraId="5DD68930" w14:textId="15550461" w:rsidR="007733A7" w:rsidRDefault="007733A7">
      <w:pPr>
        <w:pStyle w:val="ListBullet2"/>
      </w:pPr>
      <w:r w:rsidRPr="007733A7">
        <w:t>Small-scale preliminary activities used to refine the design, methods, or instruments of a larger study</w:t>
      </w:r>
    </w:p>
    <w:p w14:paraId="14A75EC1" w14:textId="21F77C23" w:rsidR="00A47F48" w:rsidRDefault="002C059C" w:rsidP="007733A7">
      <w:pPr>
        <w:pStyle w:val="ListBullet2"/>
      </w:pPr>
      <w:r>
        <w:t>Faculty, staff, and student effort devoted to research</w:t>
      </w:r>
      <w:r w:rsidR="007733A7">
        <w:t>, as well as r</w:t>
      </w:r>
      <w:r>
        <w:t>esearch assistants, postdoctoral scholars, and research trainees</w:t>
      </w:r>
    </w:p>
    <w:p w14:paraId="10B68303" w14:textId="403B84A0" w:rsidR="00A47F48" w:rsidRDefault="002C059C">
      <w:pPr>
        <w:pStyle w:val="ListBullet2"/>
      </w:pPr>
      <w:r>
        <w:t>Research</w:t>
      </w:r>
      <w:r w:rsidR="007733A7">
        <w:t xml:space="preserve"> </w:t>
      </w:r>
      <w:r w:rsidR="007733A7">
        <w:t>equipment, supplies, and specialized research software</w:t>
      </w:r>
      <w:r w:rsidR="007733A7">
        <w:t xml:space="preserve"> and research</w:t>
      </w:r>
      <w:r>
        <w:t>-related travel and dissemination activities</w:t>
      </w:r>
    </w:p>
    <w:p w14:paraId="44CCD325" w14:textId="77777777" w:rsidR="00A47F48" w:rsidRDefault="002C059C">
      <w:pPr>
        <w:pStyle w:val="Heading2"/>
      </w:pPr>
      <w:r>
        <w:t>0030 – Public Service</w:t>
      </w:r>
    </w:p>
    <w:p w14:paraId="00CD101B" w14:textId="77777777" w:rsidR="00A47F48" w:rsidRDefault="002C059C">
      <w:r>
        <w:t>Expenditures for non-instructional activities that provide services beneficial to individuals or groups external to the institution.</w:t>
      </w:r>
    </w:p>
    <w:p w14:paraId="140777A6" w14:textId="77777777" w:rsidR="007733A7" w:rsidRDefault="007733A7" w:rsidP="007733A7">
      <w:pPr>
        <w:pStyle w:val="ListBullet2"/>
      </w:pPr>
      <w:r w:rsidRPr="007733A7">
        <w:t xml:space="preserve">Funding for clinical care activities such as providing routine treatment to patients in rural communities </w:t>
      </w:r>
    </w:p>
    <w:p w14:paraId="0A52A343" w14:textId="77777777" w:rsidR="007733A7" w:rsidRDefault="007733A7" w:rsidP="007733A7">
      <w:pPr>
        <w:pStyle w:val="ListBullet2"/>
      </w:pPr>
      <w:r w:rsidRPr="007733A7">
        <w:t xml:space="preserve">Awards to develop non-experimental programs to integrate clinical and preventative health care services, research, community outreach and professional education and training </w:t>
      </w:r>
    </w:p>
    <w:p w14:paraId="52965A3E" w14:textId="77777777" w:rsidR="007733A7" w:rsidRDefault="007733A7" w:rsidP="007733A7">
      <w:pPr>
        <w:pStyle w:val="ListBullet2"/>
      </w:pPr>
      <w:r w:rsidRPr="007733A7">
        <w:t xml:space="preserve">Non-experimental curriculum development (including software) for early childhood, compulsory, and higher education. </w:t>
      </w:r>
    </w:p>
    <w:p w14:paraId="241DAA2A" w14:textId="77777777" w:rsidR="007733A7" w:rsidRDefault="007733A7" w:rsidP="007733A7">
      <w:pPr>
        <w:pStyle w:val="ListBullet2"/>
      </w:pPr>
      <w:r w:rsidRPr="007733A7">
        <w:t xml:space="preserve">Sponsorship of museums, arts, dance, music programs </w:t>
      </w:r>
    </w:p>
    <w:p w14:paraId="431977AE" w14:textId="77777777" w:rsidR="007733A7" w:rsidRDefault="007733A7" w:rsidP="007733A7">
      <w:pPr>
        <w:pStyle w:val="ListBullet2"/>
      </w:pPr>
      <w:r w:rsidRPr="007733A7">
        <w:t xml:space="preserve">Equipment unconnected to a specific research project </w:t>
      </w:r>
    </w:p>
    <w:p w14:paraId="17E5834E" w14:textId="5907EE38" w:rsidR="007733A7" w:rsidRDefault="007733A7" w:rsidP="007733A7">
      <w:pPr>
        <w:pStyle w:val="ListBullet2"/>
      </w:pPr>
      <w:r w:rsidRPr="007733A7">
        <w:t>Consulting with a community advisory board about a proposed study</w:t>
      </w:r>
      <w:r w:rsidRPr="007733A7">
        <w:t xml:space="preserve"> </w:t>
      </w:r>
    </w:p>
    <w:p w14:paraId="0C4217B5" w14:textId="77777777" w:rsidR="007733A7" w:rsidRDefault="007733A7" w:rsidP="007733A7">
      <w:pPr>
        <w:pStyle w:val="ListBullet2"/>
      </w:pPr>
      <w:r w:rsidRPr="007733A7">
        <w:t xml:space="preserve">Routine/commercial testing or contract-for-service activities– generally involves the use of nonexperimental procedures/measurements </w:t>
      </w:r>
    </w:p>
    <w:p w14:paraId="1B755671" w14:textId="77777777" w:rsidR="007733A7" w:rsidRDefault="007733A7" w:rsidP="007733A7">
      <w:pPr>
        <w:pStyle w:val="ListBullet2"/>
      </w:pPr>
      <w:r w:rsidRPr="007733A7">
        <w:t xml:space="preserve">Quality assurance/improvement activities limited to the use of accepted practices in the participating institutions, without the intent to produce </w:t>
      </w:r>
      <w:proofErr w:type="gramStart"/>
      <w:r w:rsidRPr="007733A7">
        <w:t>generalizable</w:t>
      </w:r>
      <w:proofErr w:type="gramEnd"/>
      <w:r w:rsidRPr="007733A7">
        <w:t xml:space="preserve"> knowledge </w:t>
      </w:r>
    </w:p>
    <w:p w14:paraId="6DF4D4FA" w14:textId="4831040E" w:rsidR="007733A7" w:rsidRDefault="007733A7" w:rsidP="007733A7">
      <w:pPr>
        <w:pStyle w:val="ListBullet2"/>
      </w:pPr>
      <w:r w:rsidRPr="007733A7">
        <w:t>Symposia, workshops, seminars, conferences that do not qualify as instruction or research</w:t>
      </w:r>
    </w:p>
    <w:p w14:paraId="070BC80D" w14:textId="77777777" w:rsidR="007733A7" w:rsidRDefault="007733A7" w:rsidP="007733A7">
      <w:pPr>
        <w:pStyle w:val="ListBullet2"/>
        <w:numPr>
          <w:ilvl w:val="0"/>
          <w:numId w:val="0"/>
        </w:numPr>
        <w:ind w:left="720" w:hanging="360"/>
      </w:pPr>
    </w:p>
    <w:p w14:paraId="2599D12A" w14:textId="248EDDF3" w:rsidR="00A47F48" w:rsidRPr="007733A7" w:rsidRDefault="002C059C" w:rsidP="007733A7">
      <w:pPr>
        <w:pStyle w:val="Heading2"/>
      </w:pPr>
      <w:r w:rsidRPr="007733A7">
        <w:t>0040 – Academic Support</w:t>
      </w:r>
    </w:p>
    <w:p w14:paraId="18F9F22E" w14:textId="77777777" w:rsidR="00A47F48" w:rsidRDefault="002C059C">
      <w:r>
        <w:t>Expenditures that directly support instructional and research activities but are not themselves instruction or research.</w:t>
      </w:r>
    </w:p>
    <w:p w14:paraId="47CC91D9" w14:textId="77777777" w:rsidR="00A47F48" w:rsidRDefault="002C059C">
      <w:pPr>
        <w:pStyle w:val="ListBullet2"/>
      </w:pPr>
      <w:r>
        <w:t>Academic administration and support staff</w:t>
      </w:r>
    </w:p>
    <w:p w14:paraId="0E040215" w14:textId="77777777" w:rsidR="00A47F48" w:rsidRDefault="002C059C">
      <w:pPr>
        <w:pStyle w:val="ListBullet2"/>
      </w:pPr>
      <w:r>
        <w:t>Academic advising and curriculum development</w:t>
      </w:r>
    </w:p>
    <w:p w14:paraId="4AD0A7B6" w14:textId="77777777" w:rsidR="00A47F48" w:rsidRDefault="002C059C">
      <w:pPr>
        <w:pStyle w:val="ListBullet2"/>
      </w:pPr>
      <w:r>
        <w:t>Faculty recruitment and development activities</w:t>
      </w:r>
    </w:p>
    <w:p w14:paraId="41BEC0EB" w14:textId="77777777" w:rsidR="00A47F48" w:rsidRDefault="002C059C">
      <w:pPr>
        <w:pStyle w:val="ListBullet2"/>
      </w:pPr>
      <w:r>
        <w:t>Proposal development and research capacity building</w:t>
      </w:r>
    </w:p>
    <w:p w14:paraId="4DFBBC01" w14:textId="77777777" w:rsidR="00A47F48" w:rsidRDefault="002C059C">
      <w:pPr>
        <w:pStyle w:val="ListBullet2"/>
      </w:pPr>
      <w:r>
        <w:lastRenderedPageBreak/>
        <w:t>Academic computing and instructional support services</w:t>
      </w:r>
    </w:p>
    <w:p w14:paraId="4D685AE3" w14:textId="77777777" w:rsidR="00A47F48" w:rsidRDefault="002C059C">
      <w:pPr>
        <w:pStyle w:val="Heading2"/>
      </w:pPr>
      <w:r>
        <w:t>0050 – Student Services</w:t>
      </w:r>
    </w:p>
    <w:p w14:paraId="37739F37" w14:textId="77777777" w:rsidR="00A47F48" w:rsidRDefault="002C059C">
      <w:r>
        <w:t>Expenditures that support student services and student development outside the formal instructional program.</w:t>
      </w:r>
    </w:p>
    <w:p w14:paraId="69AFD845" w14:textId="77777777" w:rsidR="00A47F48" w:rsidRDefault="002C059C">
      <w:pPr>
        <w:pStyle w:val="ListBullet2"/>
      </w:pPr>
      <w:r>
        <w:t>Admissions and enrollment support</w:t>
      </w:r>
    </w:p>
    <w:p w14:paraId="1A08C05C" w14:textId="77777777" w:rsidR="00A47F48" w:rsidRDefault="002C059C">
      <w:pPr>
        <w:pStyle w:val="ListBullet2"/>
      </w:pPr>
      <w:r>
        <w:t>Career services and professional development</w:t>
      </w:r>
    </w:p>
    <w:p w14:paraId="5CC85579" w14:textId="77777777" w:rsidR="00A47F48" w:rsidRDefault="002C059C">
      <w:pPr>
        <w:pStyle w:val="ListBullet2"/>
      </w:pPr>
      <w:r>
        <w:t>Student health and counseling services</w:t>
      </w:r>
    </w:p>
    <w:p w14:paraId="0C83EAD0" w14:textId="77777777" w:rsidR="00A47F48" w:rsidRDefault="002C059C">
      <w:pPr>
        <w:pStyle w:val="ListBullet2"/>
      </w:pPr>
      <w:r>
        <w:t>Student activities, organizations, and programming</w:t>
      </w:r>
    </w:p>
    <w:p w14:paraId="3BD3D799" w14:textId="77777777" w:rsidR="00A47F48" w:rsidRDefault="002C059C">
      <w:pPr>
        <w:pStyle w:val="Heading2"/>
      </w:pPr>
      <w:r>
        <w:t>0060 – Institutional Support</w:t>
      </w:r>
    </w:p>
    <w:p w14:paraId="4902DE99" w14:textId="77777777" w:rsidR="00A47F48" w:rsidRDefault="002C059C">
      <w:r>
        <w:t>Expenditures for executive leadership and institution-wide administration and oversight.</w:t>
      </w:r>
    </w:p>
    <w:p w14:paraId="0E228181" w14:textId="77777777" w:rsidR="00A47F48" w:rsidRDefault="002C059C">
      <w:pPr>
        <w:pStyle w:val="ListBullet2"/>
      </w:pPr>
      <w:r>
        <w:t>Executive leadership and governance</w:t>
      </w:r>
    </w:p>
    <w:p w14:paraId="5CCEF73F" w14:textId="77777777" w:rsidR="00A47F48" w:rsidRDefault="002C059C">
      <w:pPr>
        <w:pStyle w:val="ListBullet2"/>
      </w:pPr>
      <w:r>
        <w:t>Finance, accounting, budgeting, and payroll</w:t>
      </w:r>
    </w:p>
    <w:p w14:paraId="0AF00D5F" w14:textId="77777777" w:rsidR="00A47F48" w:rsidRDefault="002C059C">
      <w:pPr>
        <w:pStyle w:val="ListBullet2"/>
      </w:pPr>
      <w:r>
        <w:t>Human resources and employee relations</w:t>
      </w:r>
    </w:p>
    <w:p w14:paraId="363DB50D" w14:textId="77777777" w:rsidR="00A47F48" w:rsidRDefault="002C059C">
      <w:pPr>
        <w:pStyle w:val="ListBullet2"/>
      </w:pPr>
      <w:r>
        <w:t>Legal, audit, compliance, and sponsored programs administration</w:t>
      </w:r>
    </w:p>
    <w:p w14:paraId="78578EC2" w14:textId="77777777" w:rsidR="00A47F48" w:rsidRDefault="002C059C">
      <w:pPr>
        <w:pStyle w:val="Heading2"/>
      </w:pPr>
      <w:r>
        <w:t>0070 – Physical Plant Operations</w:t>
      </w:r>
    </w:p>
    <w:p w14:paraId="520C9CEA" w14:textId="77777777" w:rsidR="00A47F48" w:rsidRDefault="002C059C">
      <w:r>
        <w:t>Expenditures for the operation, maintenance, and protection of facilities and infrastructure.</w:t>
      </w:r>
    </w:p>
    <w:p w14:paraId="48ECA156" w14:textId="77777777" w:rsidR="00A47F48" w:rsidRDefault="002C059C">
      <w:pPr>
        <w:pStyle w:val="ListBullet2"/>
      </w:pPr>
      <w:r>
        <w:t>Facility management and planning</w:t>
      </w:r>
    </w:p>
    <w:p w14:paraId="38F64266" w14:textId="77777777" w:rsidR="00A47F48" w:rsidRDefault="002C059C">
      <w:pPr>
        <w:pStyle w:val="ListBullet2"/>
      </w:pPr>
      <w:r>
        <w:t>Utilities and janitorial services</w:t>
      </w:r>
    </w:p>
    <w:p w14:paraId="5A5E1AF2" w14:textId="77777777" w:rsidR="00A47F48" w:rsidRDefault="002C059C">
      <w:pPr>
        <w:pStyle w:val="ListBullet2"/>
      </w:pPr>
      <w:r>
        <w:t>Routine maintenance and repairs</w:t>
      </w:r>
    </w:p>
    <w:p w14:paraId="673C9239" w14:textId="77777777" w:rsidR="00A47F48" w:rsidRDefault="002C059C">
      <w:pPr>
        <w:pStyle w:val="ListBullet2"/>
      </w:pPr>
      <w:r>
        <w:t>Groundskeeping, security, and safety services</w:t>
      </w:r>
    </w:p>
    <w:p w14:paraId="19C28C85" w14:textId="77777777" w:rsidR="00A47F48" w:rsidRDefault="002C059C">
      <w:pPr>
        <w:pStyle w:val="Heading2"/>
      </w:pPr>
      <w:r>
        <w:t>0080 – Student Financial Support</w:t>
      </w:r>
    </w:p>
    <w:p w14:paraId="57958ECD" w14:textId="77777777" w:rsidR="00A47F48" w:rsidRDefault="002C059C">
      <w:r>
        <w:t>Expenditures representing financial aid or direct financial support awarded to students.</w:t>
      </w:r>
    </w:p>
    <w:p w14:paraId="1F942910" w14:textId="77777777" w:rsidR="00A47F48" w:rsidRDefault="002C059C">
      <w:pPr>
        <w:pStyle w:val="ListBullet2"/>
      </w:pPr>
      <w:r>
        <w:t>Scholarships and fellowships</w:t>
      </w:r>
    </w:p>
    <w:p w14:paraId="11F81572" w14:textId="77777777" w:rsidR="00A47F48" w:rsidRDefault="002C059C">
      <w:pPr>
        <w:pStyle w:val="ListBullet2"/>
      </w:pPr>
      <w:r>
        <w:t>Trainee stipends and student allowances</w:t>
      </w:r>
    </w:p>
    <w:p w14:paraId="755B6697" w14:textId="77777777" w:rsidR="00A47F48" w:rsidRDefault="002C059C">
      <w:pPr>
        <w:pStyle w:val="ListBullet2"/>
      </w:pPr>
      <w:r>
        <w:t>Tuition and fee remissions</w:t>
      </w:r>
    </w:p>
    <w:p w14:paraId="4E7BA731" w14:textId="77777777" w:rsidR="00A47F48" w:rsidRDefault="002C059C">
      <w:pPr>
        <w:pStyle w:val="ListBullet2"/>
      </w:pPr>
      <w:r>
        <w:t>Student grants and awards</w:t>
      </w:r>
    </w:p>
    <w:sectPr w:rsidR="00A47F48" w:rsidSect="007733A7">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80F7E" w14:textId="77777777" w:rsidR="007733A7" w:rsidRDefault="007733A7" w:rsidP="007733A7">
      <w:pPr>
        <w:spacing w:after="0" w:line="240" w:lineRule="auto"/>
      </w:pPr>
      <w:r>
        <w:separator/>
      </w:r>
    </w:p>
  </w:endnote>
  <w:endnote w:type="continuationSeparator" w:id="0">
    <w:p w14:paraId="73F6C05E" w14:textId="77777777" w:rsidR="007733A7" w:rsidRDefault="007733A7" w:rsidP="00773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02250" w14:textId="77777777" w:rsidR="007733A7" w:rsidRDefault="007733A7" w:rsidP="007733A7">
      <w:pPr>
        <w:spacing w:after="0" w:line="240" w:lineRule="auto"/>
      </w:pPr>
      <w:r>
        <w:separator/>
      </w:r>
    </w:p>
  </w:footnote>
  <w:footnote w:type="continuationSeparator" w:id="0">
    <w:p w14:paraId="34405BFC" w14:textId="77777777" w:rsidR="007733A7" w:rsidRDefault="007733A7" w:rsidP="007733A7">
      <w:pPr>
        <w:spacing w:after="0" w:line="240" w:lineRule="auto"/>
      </w:pPr>
      <w:r>
        <w:continuationSeparator/>
      </w:r>
    </w:p>
  </w:footnote>
  <w:footnote w:id="1">
    <w:p w14:paraId="296050A9" w14:textId="63DE2536" w:rsidR="007733A7" w:rsidRDefault="007733A7">
      <w:pPr>
        <w:pStyle w:val="FootnoteText"/>
      </w:pPr>
      <w:r>
        <w:rPr>
          <w:rStyle w:val="FootnoteReference"/>
        </w:rPr>
        <w:footnoteRef/>
      </w:r>
      <w:r>
        <w:t xml:space="preserve"> Examples sourced from NACUBO and </w:t>
      </w:r>
      <w:hyperlink r:id="rId1" w:history="1">
        <w:r w:rsidRPr="007733A7">
          <w:rPr>
            <w:rStyle w:val="Hyperlink"/>
          </w:rPr>
          <w:t>Mississippi State University Office of Sponsored Programs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85C970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93981385">
    <w:abstractNumId w:val="8"/>
  </w:num>
  <w:num w:numId="2" w16cid:durableId="68579403">
    <w:abstractNumId w:val="6"/>
  </w:num>
  <w:num w:numId="3" w16cid:durableId="1772436397">
    <w:abstractNumId w:val="5"/>
  </w:num>
  <w:num w:numId="4" w16cid:durableId="1274750997">
    <w:abstractNumId w:val="4"/>
  </w:num>
  <w:num w:numId="5" w16cid:durableId="2003772532">
    <w:abstractNumId w:val="7"/>
  </w:num>
  <w:num w:numId="6" w16cid:durableId="690257270">
    <w:abstractNumId w:val="3"/>
  </w:num>
  <w:num w:numId="7" w16cid:durableId="1918896878">
    <w:abstractNumId w:val="2"/>
  </w:num>
  <w:num w:numId="8" w16cid:durableId="1072701624">
    <w:abstractNumId w:val="1"/>
  </w:num>
  <w:num w:numId="9" w16cid:durableId="310864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A217D"/>
    <w:rsid w:val="0029639D"/>
    <w:rsid w:val="002A4A15"/>
    <w:rsid w:val="002C059C"/>
    <w:rsid w:val="00326F90"/>
    <w:rsid w:val="0077020D"/>
    <w:rsid w:val="007733A7"/>
    <w:rsid w:val="00A47F48"/>
    <w:rsid w:val="00AA1D8D"/>
    <w:rsid w:val="00B47730"/>
    <w:rsid w:val="00CB0664"/>
    <w:rsid w:val="00CC767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C34D6D"/>
  <w14:defaultImageDpi w14:val="300"/>
  <w15:docId w15:val="{42B97DD4-25E8-4D2D-9C29-732744C5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ootnoteText">
    <w:name w:val="footnote text"/>
    <w:basedOn w:val="Normal"/>
    <w:link w:val="FootnoteTextChar"/>
    <w:uiPriority w:val="99"/>
    <w:semiHidden/>
    <w:unhideWhenUsed/>
    <w:rsid w:val="007733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33A7"/>
    <w:rPr>
      <w:sz w:val="20"/>
      <w:szCs w:val="20"/>
    </w:rPr>
  </w:style>
  <w:style w:type="character" w:styleId="FootnoteReference">
    <w:name w:val="footnote reference"/>
    <w:basedOn w:val="DefaultParagraphFont"/>
    <w:uiPriority w:val="99"/>
    <w:semiHidden/>
    <w:unhideWhenUsed/>
    <w:rsid w:val="007733A7"/>
    <w:rPr>
      <w:vertAlign w:val="superscript"/>
    </w:rPr>
  </w:style>
  <w:style w:type="character" w:styleId="Hyperlink">
    <w:name w:val="Hyperlink"/>
    <w:basedOn w:val="DefaultParagraphFont"/>
    <w:uiPriority w:val="99"/>
    <w:unhideWhenUsed/>
    <w:rsid w:val="007733A7"/>
    <w:rPr>
      <w:color w:val="0000FF" w:themeColor="hyperlink"/>
      <w:u w:val="single"/>
    </w:rPr>
  </w:style>
  <w:style w:type="character" w:styleId="UnresolvedMention">
    <w:name w:val="Unresolved Mention"/>
    <w:basedOn w:val="DefaultParagraphFont"/>
    <w:uiPriority w:val="99"/>
    <w:semiHidden/>
    <w:unhideWhenUsed/>
    <w:rsid w:val="00773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sp.msstate.edu/sites/www.osp.msstate.edu/files/inline-files/FA%20Defini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759</Words>
  <Characters>4330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Rowe-Fortner, Niki</cp:lastModifiedBy>
  <cp:revision>2</cp:revision>
  <dcterms:created xsi:type="dcterms:W3CDTF">2026-04-22T19:22:00Z</dcterms:created>
  <dcterms:modified xsi:type="dcterms:W3CDTF">2026-04-22T19:22:00Z</dcterms:modified>
  <cp:category/>
</cp:coreProperties>
</file>