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5B9BD5" w:themeColor="accent1"/>
        </w:rPr>
        <w:id w:val="1055435956"/>
        <w:docPartObj>
          <w:docPartGallery w:val="Cover Pages"/>
          <w:docPartUnique/>
        </w:docPartObj>
      </w:sdtPr>
      <w:sdtEndPr>
        <w:rPr>
          <w:rFonts w:cs="Segoe Print"/>
          <w:color w:val="auto"/>
          <w:sz w:val="18"/>
          <w:szCs w:val="18"/>
        </w:rPr>
      </w:sdtEndPr>
      <w:sdtContent>
        <w:p w:rsidR="005231FD" w:rsidRDefault="005231FD">
          <w:pPr>
            <w:pStyle w:val="NoSpacing"/>
            <w:spacing w:before="1540" w:after="240"/>
            <w:jc w:val="center"/>
            <w:rPr>
              <w:color w:val="5B9BD5" w:themeColor="accent1"/>
            </w:rPr>
          </w:pPr>
        </w:p>
        <w:sdt>
          <w:sdtPr>
            <w:rPr>
              <w:rFonts w:ascii="Calibri" w:hAnsi="Calibri"/>
              <w:sz w:val="28"/>
              <w:szCs w:val="28"/>
              <w:shd w:val="clear" w:color="auto" w:fill="FFFFFF"/>
            </w:rPr>
            <w:alias w:val="Title"/>
            <w:tag w:val=""/>
            <w:id w:val="1735040861"/>
            <w:placeholder>
              <w:docPart w:val="C81D3F7C74E74FA7BDE0750762B5329F"/>
            </w:placeholder>
            <w:dataBinding w:prefixMappings="xmlns:ns0='http://purl.org/dc/elements/1.1/' xmlns:ns1='http://schemas.openxmlformats.org/package/2006/metadata/core-properties' " w:xpath="/ns1:coreProperties[1]/ns0:title[1]" w:storeItemID="{6C3C8BC8-F283-45AE-878A-BAB7291924A1}"/>
            <w:text/>
          </w:sdtPr>
          <w:sdtEndPr/>
          <w:sdtContent>
            <w:p w:rsidR="005231FD" w:rsidRPr="00546ACE" w:rsidRDefault="005231FD">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sz w:val="28"/>
                  <w:szCs w:val="28"/>
                </w:rPr>
              </w:pPr>
              <w:r w:rsidRPr="00546ACE">
                <w:rPr>
                  <w:rFonts w:ascii="Calibri" w:hAnsi="Calibri"/>
                  <w:sz w:val="28"/>
                  <w:szCs w:val="28"/>
                  <w:shd w:val="clear" w:color="auto" w:fill="FFFFFF"/>
                </w:rPr>
                <w:t>Citizens Unite: Combating Corporate Suppression of the Voice of the People</w:t>
              </w:r>
            </w:p>
          </w:sdtContent>
        </w:sdt>
        <w:p w:rsidR="00546ACE" w:rsidRDefault="00546ACE" w:rsidP="00546ACE">
          <w:pPr>
            <w:jc w:val="center"/>
          </w:pPr>
        </w:p>
        <w:p w:rsidR="00546ACE" w:rsidRDefault="00546ACE" w:rsidP="00546ACE">
          <w:pPr>
            <w:jc w:val="center"/>
          </w:pPr>
        </w:p>
        <w:p w:rsidR="00546ACE" w:rsidRDefault="00546ACE" w:rsidP="00546ACE">
          <w:pPr>
            <w:jc w:val="center"/>
          </w:pPr>
        </w:p>
        <w:p w:rsidR="00546ACE" w:rsidRDefault="00546ACE" w:rsidP="00546ACE">
          <w:pPr>
            <w:jc w:val="center"/>
          </w:pPr>
        </w:p>
        <w:p w:rsidR="00546ACE" w:rsidRDefault="00546ACE" w:rsidP="00546ACE">
          <w:pPr>
            <w:jc w:val="center"/>
          </w:pPr>
        </w:p>
        <w:p w:rsidR="00546ACE" w:rsidRPr="00546ACE" w:rsidRDefault="00546ACE" w:rsidP="00546ACE">
          <w:pPr>
            <w:jc w:val="center"/>
          </w:pPr>
          <w:r w:rsidRPr="00546ACE">
            <w:t>Sepideh Ghenatnevi Dunham</w:t>
          </w:r>
        </w:p>
        <w:p w:rsidR="00546ACE" w:rsidRPr="00546ACE" w:rsidRDefault="00546ACE" w:rsidP="00546ACE">
          <w:pPr>
            <w:jc w:val="center"/>
          </w:pPr>
          <w:r w:rsidRPr="00546ACE">
            <w:t>July 31, 2015</w:t>
          </w:r>
        </w:p>
        <w:p w:rsidR="00546ACE" w:rsidRPr="00546ACE" w:rsidRDefault="00546ACE" w:rsidP="00546ACE">
          <w:pPr>
            <w:jc w:val="center"/>
          </w:pPr>
          <w:r w:rsidRPr="00546ACE">
            <w:t>Dan O’Hanlon Essay Contest</w:t>
          </w:r>
        </w:p>
        <w:p w:rsidR="00546ACE" w:rsidRPr="00546ACE" w:rsidRDefault="00546ACE" w:rsidP="00546ACE">
          <w:pPr>
            <w:jc w:val="center"/>
          </w:pPr>
          <w:r w:rsidRPr="00546ACE">
            <w:t>ghenatnevi@marshall.edu</w:t>
          </w:r>
        </w:p>
        <w:p w:rsidR="00546ACE" w:rsidRDefault="005231FD" w:rsidP="005231FD">
          <w:pPr>
            <w:pStyle w:val="NoSpacing"/>
            <w:spacing w:before="480"/>
            <w:jc w:val="center"/>
            <w:rPr>
              <w:rFonts w:cs="Segoe Print"/>
              <w:sz w:val="18"/>
              <w:szCs w:val="18"/>
            </w:rPr>
          </w:pPr>
          <w:r>
            <w:rPr>
              <w:rFonts w:cs="Segoe Print"/>
              <w:sz w:val="18"/>
              <w:szCs w:val="18"/>
            </w:rPr>
            <w:br w:type="page"/>
          </w:r>
        </w:p>
        <w:p w:rsidR="005231FD" w:rsidRDefault="001E3341" w:rsidP="00546ACE">
          <w:pPr>
            <w:pStyle w:val="NoSpacing"/>
            <w:spacing w:before="480"/>
            <w:rPr>
              <w:rFonts w:cs="Segoe Print"/>
              <w:sz w:val="18"/>
              <w:szCs w:val="18"/>
            </w:rPr>
          </w:pPr>
        </w:p>
      </w:sdtContent>
    </w:sdt>
    <w:p w:rsidR="00B73F7E" w:rsidRDefault="00B73F7E" w:rsidP="001877F3">
      <w:pPr>
        <w:spacing w:line="480" w:lineRule="auto"/>
        <w:ind w:firstLine="720"/>
        <w:jc w:val="both"/>
      </w:pPr>
    </w:p>
    <w:p w:rsidR="00B73F7E" w:rsidRDefault="00303CC4" w:rsidP="0062061F">
      <w:pPr>
        <w:spacing w:after="0" w:line="480" w:lineRule="auto"/>
        <w:ind w:firstLine="720"/>
        <w:jc w:val="both"/>
      </w:pPr>
      <w:r w:rsidRPr="00565666">
        <w:t xml:space="preserve">We </w:t>
      </w:r>
      <w:r w:rsidR="009B5F78" w:rsidRPr="00565666">
        <w:t xml:space="preserve">the </w:t>
      </w:r>
      <w:r w:rsidR="009B5F78" w:rsidRPr="00565666">
        <w:rPr>
          <w:b/>
          <w:i/>
        </w:rPr>
        <w:t xml:space="preserve">People </w:t>
      </w:r>
      <w:r w:rsidR="009B5F78" w:rsidRPr="00565666">
        <w:t>of the United States.</w:t>
      </w:r>
      <w:r w:rsidRPr="00565666">
        <w:t xml:space="preserve"> </w:t>
      </w:r>
      <w:r w:rsidR="003C4B79">
        <w:t xml:space="preserve">The famous first words of the Constitution. </w:t>
      </w:r>
      <w:r w:rsidR="00F15B2F" w:rsidRPr="00565666">
        <w:t>People</w:t>
      </w:r>
      <w:r w:rsidR="00DE3470">
        <w:t xml:space="preserve"> </w:t>
      </w:r>
      <w:r w:rsidR="00F15B2F" w:rsidRPr="00565666">
        <w:t>can vote. P</w:t>
      </w:r>
      <w:r w:rsidR="00D1293D" w:rsidRPr="00565666">
        <w:t>eople</w:t>
      </w:r>
      <w:r w:rsidR="00F15B2F" w:rsidRPr="00565666">
        <w:t xml:space="preserve"> </w:t>
      </w:r>
      <w:r w:rsidR="001E27E7" w:rsidRPr="00565666">
        <w:t>can run for office</w:t>
      </w:r>
      <w:r w:rsidR="00F15B2F" w:rsidRPr="00565666">
        <w:t>. People have</w:t>
      </w:r>
      <w:r w:rsidR="00CA6B25">
        <w:t xml:space="preserve"> in</w:t>
      </w:r>
      <w:r w:rsidR="00D1293D" w:rsidRPr="00565666">
        <w:t xml:space="preserve">alienable rights. </w:t>
      </w:r>
      <w:r w:rsidR="00AE3AD1" w:rsidRPr="00565666">
        <w:t xml:space="preserve"> Yet</w:t>
      </w:r>
      <w:r w:rsidR="00F15B2F" w:rsidRPr="00565666">
        <w:t xml:space="preserve">, </w:t>
      </w:r>
      <w:r w:rsidRPr="00565666">
        <w:t>in 2012</w:t>
      </w:r>
      <w:r w:rsidR="00FA2C58" w:rsidRPr="00565666">
        <w:t>,</w:t>
      </w:r>
      <w:r w:rsidRPr="00565666">
        <w:t xml:space="preserve"> </w:t>
      </w:r>
      <w:r w:rsidR="00F15B2F" w:rsidRPr="00565666">
        <w:t xml:space="preserve">a </w:t>
      </w:r>
      <w:r w:rsidR="00F15B2F" w:rsidRPr="00CA0FA7">
        <w:t xml:space="preserve">presidential candidate exclaimed: </w:t>
      </w:r>
      <w:r w:rsidRPr="00CA0FA7">
        <w:t>“Cor</w:t>
      </w:r>
      <w:r w:rsidR="00FA2C58" w:rsidRPr="00CA0FA7">
        <w:t>porations are people</w:t>
      </w:r>
      <w:r w:rsidR="009B5F78" w:rsidRPr="00CA0FA7">
        <w:t>.</w:t>
      </w:r>
      <w:r w:rsidRPr="00CA0FA7">
        <w:t xml:space="preserve">” The </w:t>
      </w:r>
      <w:r w:rsidR="00F15B2F" w:rsidRPr="00CA0FA7">
        <w:t xml:space="preserve">notion </w:t>
      </w:r>
      <w:r w:rsidRPr="00CA0FA7">
        <w:t>that corporations</w:t>
      </w:r>
      <w:r w:rsidR="00D1293D" w:rsidRPr="00CA0FA7">
        <w:t xml:space="preserve"> have identical rights to human beings </w:t>
      </w:r>
      <w:r w:rsidR="00D33073" w:rsidRPr="00CA0FA7">
        <w:t xml:space="preserve">is the </w:t>
      </w:r>
      <w:r w:rsidR="00FA2C58" w:rsidRPr="00CA0FA7">
        <w:t>logi</w:t>
      </w:r>
      <w:r w:rsidR="00A85182">
        <w:t>c applied by the Supreme Court</w:t>
      </w:r>
      <w:r w:rsidR="00FA2C58" w:rsidRPr="00CA0FA7">
        <w:t xml:space="preserve"> </w:t>
      </w:r>
      <w:r w:rsidR="003C4B79">
        <w:t xml:space="preserve">in the infamous case </w:t>
      </w:r>
      <w:r w:rsidR="00D1293D" w:rsidRPr="00CA0FA7">
        <w:rPr>
          <w:i/>
        </w:rPr>
        <w:t>Citizens United v. Federal Election Commission</w:t>
      </w:r>
      <w:r w:rsidR="00D1293D" w:rsidRPr="00CA0FA7">
        <w:t xml:space="preserve">. The Supreme Court </w:t>
      </w:r>
      <w:r w:rsidR="00FA2C58" w:rsidRPr="00CA0FA7">
        <w:t>overruled</w:t>
      </w:r>
      <w:r w:rsidR="00D1293D" w:rsidRPr="00CA0FA7">
        <w:t xml:space="preserve"> </w:t>
      </w:r>
      <w:r w:rsidR="00F15B2F" w:rsidRPr="00CA0FA7">
        <w:t>decades</w:t>
      </w:r>
      <w:r w:rsidR="00D1293D" w:rsidRPr="00CA0FA7">
        <w:t xml:space="preserve"> of precedent when it declared that there </w:t>
      </w:r>
      <w:r w:rsidR="009B5F78" w:rsidRPr="00CA0FA7">
        <w:t>should</w:t>
      </w:r>
      <w:r w:rsidR="00D1293D" w:rsidRPr="00CA0FA7">
        <w:t xml:space="preserve"> be no </w:t>
      </w:r>
      <w:r w:rsidR="00AE3AD1" w:rsidRPr="00CA0FA7">
        <w:t xml:space="preserve">restriction on corporations and unions from making independent </w:t>
      </w:r>
      <w:r w:rsidR="00F15B2F" w:rsidRPr="00CA0FA7">
        <w:t xml:space="preserve">campaign </w:t>
      </w:r>
      <w:r w:rsidR="00AE3AD1" w:rsidRPr="00CA0FA7">
        <w:t xml:space="preserve">expenditures and electioneering communications. </w:t>
      </w:r>
      <w:r w:rsidR="009B5F78" w:rsidRPr="00CA0FA7">
        <w:t xml:space="preserve">The </w:t>
      </w:r>
      <w:r w:rsidR="00F15B2F" w:rsidRPr="00CA0FA7">
        <w:t>rationale behind the decision was that</w:t>
      </w:r>
      <w:r w:rsidR="009B5F78" w:rsidRPr="00CA0FA7">
        <w:t xml:space="preserve"> spending money is a form of speech</w:t>
      </w:r>
      <w:r w:rsidR="00F15B2F" w:rsidRPr="00CA0FA7">
        <w:t xml:space="preserve"> that is protected under the First Amendment of the United States Constitution – and, corporations are entitled to F</w:t>
      </w:r>
      <w:r w:rsidR="009B5F78" w:rsidRPr="00CA0FA7">
        <w:t xml:space="preserve">irst </w:t>
      </w:r>
      <w:r w:rsidR="00F15B2F" w:rsidRPr="00CA0FA7">
        <w:t>A</w:t>
      </w:r>
      <w:r w:rsidR="009B5F78" w:rsidRPr="00CA0FA7">
        <w:t>mendment protection</w:t>
      </w:r>
      <w:r w:rsidR="00F15B2F" w:rsidRPr="00CA0FA7">
        <w:t>s</w:t>
      </w:r>
      <w:r w:rsidR="009B5F78" w:rsidRPr="00CA0FA7">
        <w:t xml:space="preserve">. </w:t>
      </w:r>
      <w:r w:rsidR="00AE3AD1" w:rsidRPr="00CA0FA7">
        <w:t xml:space="preserve">Not only was this judicial activism in its purest, </w:t>
      </w:r>
      <w:r w:rsidR="003C4B79">
        <w:t>it also creates the</w:t>
      </w:r>
      <w:r w:rsidR="00AE3AD1" w:rsidRPr="00CA0FA7">
        <w:t xml:space="preserve"> </w:t>
      </w:r>
      <w:r w:rsidR="003C4B79">
        <w:t>avenue</w:t>
      </w:r>
      <w:r w:rsidR="00AE3AD1" w:rsidRPr="00CA0FA7">
        <w:t xml:space="preserve"> for corruption and for corporate </w:t>
      </w:r>
      <w:r w:rsidR="00FA2C58" w:rsidRPr="00CA0FA7">
        <w:t>juggernauts</w:t>
      </w:r>
      <w:r w:rsidR="00AE3AD1" w:rsidRPr="00CA0FA7">
        <w:t xml:space="preserve"> to </w:t>
      </w:r>
      <w:r w:rsidR="00FA2C58" w:rsidRPr="00CA0FA7">
        <w:t>dwarf</w:t>
      </w:r>
      <w:r w:rsidR="00AE3AD1" w:rsidRPr="00CA0FA7">
        <w:t xml:space="preserve"> </w:t>
      </w:r>
      <w:r w:rsidR="00F15B2F" w:rsidRPr="00CA0FA7">
        <w:t xml:space="preserve">the speech of people – </w:t>
      </w:r>
      <w:r w:rsidR="00BC25C3" w:rsidRPr="00CA0FA7">
        <w:t>individual, voting</w:t>
      </w:r>
      <w:r w:rsidR="001E27E7" w:rsidRPr="00CA0FA7">
        <w:t>, people</w:t>
      </w:r>
      <w:r w:rsidR="00CA6B25">
        <w:t xml:space="preserve"> with i</w:t>
      </w:r>
      <w:r w:rsidR="00F15B2F" w:rsidRPr="00CA0FA7">
        <w:t xml:space="preserve">nalienable rights. </w:t>
      </w:r>
      <w:r w:rsidR="00AE3AD1" w:rsidRPr="00CA0FA7">
        <w:t xml:space="preserve"> </w:t>
      </w:r>
      <w:r w:rsidR="00F15B2F" w:rsidRPr="00CA0FA7">
        <w:t xml:space="preserve">Ironically, </w:t>
      </w:r>
      <w:r w:rsidR="00F15B2F" w:rsidRPr="00CA0FA7">
        <w:rPr>
          <w:i/>
        </w:rPr>
        <w:t>Citizens United</w:t>
      </w:r>
      <w:r w:rsidR="00F15B2F" w:rsidRPr="00CA0FA7">
        <w:t xml:space="preserve"> </w:t>
      </w:r>
      <w:r w:rsidR="00FA2C58" w:rsidRPr="00CA0FA7">
        <w:t>diminishes</w:t>
      </w:r>
      <w:r w:rsidR="00F15B2F" w:rsidRPr="00CA0FA7">
        <w:t xml:space="preserve"> </w:t>
      </w:r>
      <w:r w:rsidR="00AE3AD1" w:rsidRPr="00CA0FA7">
        <w:t xml:space="preserve">the </w:t>
      </w:r>
      <w:r w:rsidR="009B5F78" w:rsidRPr="00CA0FA7">
        <w:t xml:space="preserve">same </w:t>
      </w:r>
      <w:r w:rsidR="00AE3AD1" w:rsidRPr="00CA0FA7">
        <w:t>speech that the Con</w:t>
      </w:r>
      <w:r w:rsidR="00F15B2F" w:rsidRPr="00CA0FA7">
        <w:t>stitution seeks</w:t>
      </w:r>
      <w:r w:rsidR="00AE3AD1" w:rsidRPr="00565666">
        <w:t xml:space="preserve"> to protect. </w:t>
      </w:r>
    </w:p>
    <w:p w:rsidR="00B73F7E" w:rsidRDefault="00441D3B" w:rsidP="0062061F">
      <w:pPr>
        <w:spacing w:after="0" w:line="480" w:lineRule="auto"/>
        <w:ind w:firstLine="720"/>
        <w:jc w:val="both"/>
      </w:pPr>
      <w:r w:rsidRPr="00565666">
        <w:t>Under the</w:t>
      </w:r>
      <w:r w:rsidR="00BC25C3" w:rsidRPr="00565666">
        <w:t xml:space="preserve"> Bipartisan Campaign Reform Act of 2002 (BCRA), also known as the McCain-Feingold Act,</w:t>
      </w:r>
      <w:r w:rsidRPr="00565666">
        <w:t xml:space="preserve"> </w:t>
      </w:r>
      <w:r w:rsidR="00054356" w:rsidRPr="00565666">
        <w:t xml:space="preserve">federal law </w:t>
      </w:r>
      <w:r w:rsidR="00816202">
        <w:rPr>
          <w:rFonts w:cs="Segoe Print"/>
        </w:rPr>
        <w:t>prohibited</w:t>
      </w:r>
      <w:r w:rsidR="00054356" w:rsidRPr="00565666">
        <w:rPr>
          <w:rFonts w:cs="Segoe Print"/>
        </w:rPr>
        <w:t xml:space="preserve"> corporations from airing any "broadcast, cable or satellite communication" advocating for or against a candidate running for federal office within 30 days of a primary election</w:t>
      </w:r>
      <w:r w:rsidR="00CA0FA7">
        <w:rPr>
          <w:rFonts w:cs="Segoe Print"/>
        </w:rPr>
        <w:t>, and prohibiting any such ad paid for using corporate treasury funds</w:t>
      </w:r>
      <w:r w:rsidR="001B0D92">
        <w:rPr>
          <w:rFonts w:cs="Segoe Print"/>
        </w:rPr>
        <w:t>.</w:t>
      </w:r>
      <w:r w:rsidR="001B0D92">
        <w:rPr>
          <w:rStyle w:val="FootnoteReference"/>
          <w:rFonts w:cs="Segoe Print"/>
        </w:rPr>
        <w:footnoteReference w:id="1"/>
      </w:r>
      <w:r w:rsidR="001B0D92">
        <w:rPr>
          <w:rFonts w:cs="Segoe Print"/>
        </w:rPr>
        <w:t xml:space="preserve"> </w:t>
      </w:r>
      <w:r w:rsidR="00054356" w:rsidRPr="00565666">
        <w:rPr>
          <w:i/>
          <w:iCs/>
        </w:rPr>
        <w:t xml:space="preserve">McConnell </w:t>
      </w:r>
      <w:r w:rsidR="00054356" w:rsidRPr="00565666">
        <w:t xml:space="preserve">v. </w:t>
      </w:r>
      <w:r w:rsidR="00054356" w:rsidRPr="00565666">
        <w:rPr>
          <w:i/>
          <w:iCs/>
        </w:rPr>
        <w:t>Federal Election Commission</w:t>
      </w:r>
      <w:r w:rsidR="00816202">
        <w:rPr>
          <w:iCs/>
        </w:rPr>
        <w:t xml:space="preserve">, a 2003 Supreme Court case, </w:t>
      </w:r>
      <w:r w:rsidR="00054356" w:rsidRPr="00565666">
        <w:rPr>
          <w:iCs/>
        </w:rPr>
        <w:t>upheld the constitutionality of</w:t>
      </w:r>
      <w:r w:rsidR="00054356" w:rsidRPr="00565666">
        <w:rPr>
          <w:i/>
          <w:iCs/>
        </w:rPr>
        <w:t xml:space="preserve"> </w:t>
      </w:r>
      <w:r w:rsidR="00054356" w:rsidRPr="00565666">
        <w:rPr>
          <w:iCs/>
        </w:rPr>
        <w:t>the BCRA</w:t>
      </w:r>
      <w:r w:rsidR="00FA2C58" w:rsidRPr="00565666">
        <w:rPr>
          <w:iCs/>
        </w:rPr>
        <w:t xml:space="preserve">. In upholding the BCRA, the </w:t>
      </w:r>
      <w:r w:rsidR="00816202" w:rsidRPr="00816202">
        <w:rPr>
          <w:i/>
          <w:iCs/>
        </w:rPr>
        <w:t>McConnell</w:t>
      </w:r>
      <w:r w:rsidR="00816202">
        <w:rPr>
          <w:iCs/>
        </w:rPr>
        <w:t xml:space="preserve"> Court relied upon</w:t>
      </w:r>
      <w:r w:rsidR="00271B58" w:rsidRPr="00565666">
        <w:rPr>
          <w:iCs/>
        </w:rPr>
        <w:t xml:space="preserve"> </w:t>
      </w:r>
      <w:r w:rsidR="00271B58" w:rsidRPr="00565666">
        <w:rPr>
          <w:i/>
          <w:iCs/>
        </w:rPr>
        <w:t xml:space="preserve">Austin </w:t>
      </w:r>
      <w:r w:rsidR="00271B58" w:rsidRPr="00565666">
        <w:t xml:space="preserve">v. </w:t>
      </w:r>
      <w:r w:rsidR="00271B58" w:rsidRPr="00565666">
        <w:rPr>
          <w:i/>
          <w:iCs/>
        </w:rPr>
        <w:t>Michigan Chamber of Commerce</w:t>
      </w:r>
      <w:r w:rsidR="00FA2C58" w:rsidRPr="00565666">
        <w:rPr>
          <w:i/>
          <w:iCs/>
        </w:rPr>
        <w:t>,</w:t>
      </w:r>
      <w:r w:rsidR="00271B58" w:rsidRPr="00565666">
        <w:t xml:space="preserve"> which </w:t>
      </w:r>
      <w:r w:rsidR="00FA2C58" w:rsidRPr="00565666">
        <w:t>held</w:t>
      </w:r>
      <w:r w:rsidR="00271B58" w:rsidRPr="00565666">
        <w:t xml:space="preserve"> “that political speech may be banned based on the speaker’s corporate identity.”</w:t>
      </w:r>
      <w:r w:rsidR="003D34C4" w:rsidRPr="00565666">
        <w:rPr>
          <w:rStyle w:val="FootnoteReference"/>
        </w:rPr>
        <w:footnoteReference w:id="2"/>
      </w:r>
      <w:r w:rsidR="00816202">
        <w:t xml:space="preserve"> Taken together, </w:t>
      </w:r>
      <w:r w:rsidR="00816202" w:rsidRPr="00816202">
        <w:rPr>
          <w:i/>
        </w:rPr>
        <w:t xml:space="preserve">Austin </w:t>
      </w:r>
      <w:r w:rsidR="00816202">
        <w:t xml:space="preserve">and </w:t>
      </w:r>
      <w:r w:rsidR="00816202" w:rsidRPr="00816202">
        <w:rPr>
          <w:i/>
        </w:rPr>
        <w:t>McConnell</w:t>
      </w:r>
      <w:r w:rsidR="00816202">
        <w:t xml:space="preserve"> categorically recognized that the government had a compelling interest to limit corporate speech in the realm of campaign contributions. </w:t>
      </w:r>
    </w:p>
    <w:p w:rsidR="00B73F7E" w:rsidRDefault="001E27E7" w:rsidP="0062061F">
      <w:pPr>
        <w:spacing w:after="0" w:line="480" w:lineRule="auto"/>
        <w:ind w:firstLine="720"/>
        <w:jc w:val="both"/>
      </w:pPr>
      <w:r w:rsidRPr="00565666">
        <w:lastRenderedPageBreak/>
        <w:t xml:space="preserve"> </w:t>
      </w:r>
      <w:r w:rsidRPr="00565666">
        <w:rPr>
          <w:rFonts w:cs="Segoe Print"/>
        </w:rPr>
        <w:t>In 2008, a conse</w:t>
      </w:r>
      <w:r w:rsidR="00D878B3">
        <w:rPr>
          <w:rFonts w:cs="Segoe Print"/>
        </w:rPr>
        <w:t>r</w:t>
      </w:r>
      <w:r w:rsidRPr="00565666">
        <w:rPr>
          <w:rFonts w:cs="Segoe Print"/>
        </w:rPr>
        <w:t>vative nonprofit corporation, Citizens United</w:t>
      </w:r>
      <w:r w:rsidR="00D878B3">
        <w:rPr>
          <w:rFonts w:cs="Segoe Print"/>
        </w:rPr>
        <w:t xml:space="preserve"> (hereinafter referred to as “Citizens”)</w:t>
      </w:r>
      <w:r w:rsidR="00D33073" w:rsidRPr="00565666">
        <w:rPr>
          <w:rFonts w:cs="Segoe Print"/>
        </w:rPr>
        <w:t>, released</w:t>
      </w:r>
      <w:r w:rsidR="00816202">
        <w:rPr>
          <w:rFonts w:cs="Segoe Print"/>
        </w:rPr>
        <w:t xml:space="preserve"> a documentary, </w:t>
      </w:r>
      <w:r w:rsidR="00816202" w:rsidRPr="00816202">
        <w:rPr>
          <w:rFonts w:cs="Segoe Print"/>
          <w:i/>
        </w:rPr>
        <w:t>Hillary: The Movie</w:t>
      </w:r>
      <w:r w:rsidR="00816202">
        <w:rPr>
          <w:rFonts w:cs="Segoe Print"/>
        </w:rPr>
        <w:t xml:space="preserve"> (hereinafter</w:t>
      </w:r>
      <w:r w:rsidR="00D878B3">
        <w:rPr>
          <w:rFonts w:cs="Segoe Print"/>
        </w:rPr>
        <w:t xml:space="preserve"> referred to as “the documentary” or</w:t>
      </w:r>
      <w:r w:rsidR="00816202">
        <w:rPr>
          <w:rFonts w:cs="Segoe Print"/>
        </w:rPr>
        <w:t xml:space="preserve"> </w:t>
      </w:r>
      <w:r w:rsidR="00D878B3">
        <w:rPr>
          <w:rFonts w:cs="Segoe Print"/>
        </w:rPr>
        <w:t>“</w:t>
      </w:r>
      <w:r w:rsidR="00816202" w:rsidRPr="00816202">
        <w:rPr>
          <w:rFonts w:cs="Segoe Print"/>
          <w:i/>
        </w:rPr>
        <w:t>Hi</w:t>
      </w:r>
      <w:r w:rsidR="00CA0FA7">
        <w:rPr>
          <w:rFonts w:cs="Segoe Print"/>
          <w:i/>
        </w:rPr>
        <w:t>l</w:t>
      </w:r>
      <w:r w:rsidR="00816202" w:rsidRPr="00816202">
        <w:rPr>
          <w:rFonts w:cs="Segoe Print"/>
          <w:i/>
        </w:rPr>
        <w:t>lary</w:t>
      </w:r>
      <w:r w:rsidR="00D878B3">
        <w:rPr>
          <w:rFonts w:cs="Segoe Print"/>
          <w:i/>
        </w:rPr>
        <w:t>”</w:t>
      </w:r>
      <w:r w:rsidR="00816202">
        <w:rPr>
          <w:rFonts w:cs="Segoe Print"/>
        </w:rPr>
        <w:t>)</w:t>
      </w:r>
      <w:r w:rsidR="00D878B3">
        <w:rPr>
          <w:rFonts w:cs="Segoe Print"/>
        </w:rPr>
        <w:t xml:space="preserve">. </w:t>
      </w:r>
      <w:r w:rsidR="008C698D">
        <w:rPr>
          <w:rFonts w:cs="Segoe Print"/>
        </w:rPr>
        <w:t xml:space="preserve">Ultimately, </w:t>
      </w:r>
      <w:r w:rsidR="00D878B3" w:rsidRPr="00D878B3">
        <w:rPr>
          <w:rFonts w:cs="Segoe Print"/>
          <w:i/>
        </w:rPr>
        <w:t>Hi</w:t>
      </w:r>
      <w:r w:rsidR="00CA0FA7">
        <w:rPr>
          <w:rFonts w:cs="Segoe Print"/>
          <w:i/>
        </w:rPr>
        <w:t>l</w:t>
      </w:r>
      <w:r w:rsidR="00D878B3" w:rsidRPr="00D878B3">
        <w:rPr>
          <w:rFonts w:cs="Segoe Print"/>
          <w:i/>
        </w:rPr>
        <w:t>lary</w:t>
      </w:r>
      <w:r w:rsidR="00D878B3">
        <w:rPr>
          <w:rFonts w:cs="Segoe Print"/>
        </w:rPr>
        <w:t xml:space="preserve"> was </w:t>
      </w:r>
      <w:r w:rsidR="008C698D">
        <w:rPr>
          <w:rFonts w:cs="Segoe Print"/>
        </w:rPr>
        <w:t>to be made</w:t>
      </w:r>
      <w:r w:rsidR="00D878B3">
        <w:rPr>
          <w:rFonts w:cs="Segoe Print"/>
        </w:rPr>
        <w:t xml:space="preserve"> av</w:t>
      </w:r>
      <w:r w:rsidR="00D33073" w:rsidRPr="00565666">
        <w:rPr>
          <w:rFonts w:cs="Segoe Print"/>
        </w:rPr>
        <w:t>ailable</w:t>
      </w:r>
      <w:r w:rsidRPr="00565666">
        <w:rPr>
          <w:rFonts w:cs="Segoe Print"/>
        </w:rPr>
        <w:t xml:space="preserve"> through </w:t>
      </w:r>
      <w:r w:rsidR="008C698D">
        <w:rPr>
          <w:rFonts w:cs="Segoe Print"/>
        </w:rPr>
        <w:t>cable</w:t>
      </w:r>
      <w:r w:rsidRPr="00565666">
        <w:rPr>
          <w:rFonts w:cs="Segoe Print"/>
        </w:rPr>
        <w:t xml:space="preserve"> </w:t>
      </w:r>
      <w:r w:rsidR="008C698D">
        <w:rPr>
          <w:rFonts w:cs="Segoe Print"/>
        </w:rPr>
        <w:t xml:space="preserve">video </w:t>
      </w:r>
      <w:r w:rsidRPr="00565666">
        <w:rPr>
          <w:rFonts w:cs="Segoe Print"/>
        </w:rPr>
        <w:t>on de</w:t>
      </w:r>
      <w:r w:rsidR="00D878B3">
        <w:rPr>
          <w:rFonts w:cs="Segoe Print"/>
        </w:rPr>
        <w:t xml:space="preserve">mand services. Citizens </w:t>
      </w:r>
      <w:r w:rsidRPr="00565666">
        <w:rPr>
          <w:rFonts w:cs="Segoe Print"/>
        </w:rPr>
        <w:t>produced television ads to promote the do</w:t>
      </w:r>
      <w:r w:rsidR="00565666">
        <w:rPr>
          <w:rFonts w:cs="Segoe Print"/>
        </w:rPr>
        <w:t xml:space="preserve">cumentary. </w:t>
      </w:r>
      <w:r w:rsidR="00D878B3">
        <w:rPr>
          <w:rFonts w:cs="Segoe Print"/>
        </w:rPr>
        <w:t>The</w:t>
      </w:r>
      <w:r w:rsidR="00565666">
        <w:rPr>
          <w:rFonts w:cs="Segoe Print"/>
        </w:rPr>
        <w:t xml:space="preserve"> documentary</w:t>
      </w:r>
      <w:r w:rsidR="00D878B3">
        <w:rPr>
          <w:rFonts w:cs="Segoe Print"/>
        </w:rPr>
        <w:t xml:space="preserve"> (</w:t>
      </w:r>
      <w:r w:rsidRPr="00565666">
        <w:rPr>
          <w:rFonts w:cs="Segoe Print"/>
        </w:rPr>
        <w:t>and the television ads promoting it</w:t>
      </w:r>
      <w:r w:rsidR="00D878B3">
        <w:rPr>
          <w:rFonts w:cs="Segoe Print"/>
        </w:rPr>
        <w:t>)</w:t>
      </w:r>
      <w:r w:rsidRPr="00565666">
        <w:rPr>
          <w:rFonts w:cs="Segoe Print"/>
        </w:rPr>
        <w:t xml:space="preserve"> were</w:t>
      </w:r>
      <w:r w:rsidR="00D878B3">
        <w:rPr>
          <w:rFonts w:cs="Segoe Print"/>
        </w:rPr>
        <w:t xml:space="preserve"> to be</w:t>
      </w:r>
      <w:r w:rsidRPr="00565666">
        <w:rPr>
          <w:rFonts w:cs="Segoe Print"/>
        </w:rPr>
        <w:t xml:space="preserve"> available within </w:t>
      </w:r>
      <w:r w:rsidR="00D878B3">
        <w:rPr>
          <w:rFonts w:cs="Segoe Print"/>
        </w:rPr>
        <w:t xml:space="preserve">30 days of the primary election. </w:t>
      </w:r>
      <w:r w:rsidR="008C698D">
        <w:rPr>
          <w:rFonts w:cs="Segoe Print"/>
        </w:rPr>
        <w:t>Concerned about the civil and criminal penalties for violating the BCRA, Citizens sought a declaratory judgment on whether the BCRA applied to its documentary. The request for injunctive relief was denied and the case was ultimately appealed to the Supreme Court. After two separate oral arguments, the</w:t>
      </w:r>
      <w:r w:rsidR="003D34C4" w:rsidRPr="00565666">
        <w:rPr>
          <w:rFonts w:cs="Segoe Print"/>
        </w:rPr>
        <w:t xml:space="preserve"> Court declared that a ban on the use of corporate treasury money to advocate for a political candidate was in violation of the First Amendment right to speech. The Court </w:t>
      </w:r>
      <w:r w:rsidR="003C4B79">
        <w:rPr>
          <w:rFonts w:cs="Segoe Print"/>
        </w:rPr>
        <w:t>determined</w:t>
      </w:r>
      <w:r w:rsidR="003D34C4" w:rsidRPr="00565666">
        <w:rPr>
          <w:rFonts w:cs="Segoe Print"/>
        </w:rPr>
        <w:t xml:space="preserve"> that the BCRA "</w:t>
      </w:r>
      <w:r w:rsidR="003D34C4" w:rsidRPr="00565666">
        <w:rPr>
          <w:rFonts w:cs="Century Schoolbook"/>
        </w:rPr>
        <w:t>prohibition on corporate independent expenditures is an outright ban on speech."</w:t>
      </w:r>
      <w:r w:rsidR="0053596E" w:rsidRPr="00565666">
        <w:rPr>
          <w:rStyle w:val="FootnoteReference"/>
          <w:rFonts w:cs="Century Schoolbook"/>
        </w:rPr>
        <w:footnoteReference w:id="3"/>
      </w:r>
    </w:p>
    <w:p w:rsidR="00AE3AD1" w:rsidRPr="00B73F7E" w:rsidRDefault="00AE3AD1" w:rsidP="003C4B79">
      <w:pPr>
        <w:spacing w:after="0" w:line="480" w:lineRule="auto"/>
        <w:ind w:firstLine="720"/>
        <w:jc w:val="both"/>
      </w:pPr>
      <w:r w:rsidRPr="00565666">
        <w:t xml:space="preserve">When the case was </w:t>
      </w:r>
      <w:r w:rsidR="008C698D">
        <w:t xml:space="preserve">initially </w:t>
      </w:r>
      <w:r w:rsidRPr="00565666">
        <w:t xml:space="preserve">brought </w:t>
      </w:r>
      <w:r w:rsidR="00E17EA2" w:rsidRPr="00565666">
        <w:t>before</w:t>
      </w:r>
      <w:r w:rsidRPr="00565666">
        <w:t xml:space="preserve"> the Supreme Court, the argument made</w:t>
      </w:r>
      <w:r w:rsidR="009B5F78" w:rsidRPr="00565666">
        <w:t xml:space="preserve"> by Citizen</w:t>
      </w:r>
      <w:r w:rsidR="008C698D">
        <w:t xml:space="preserve">s </w:t>
      </w:r>
      <w:r w:rsidR="00E17EA2" w:rsidRPr="00565666">
        <w:t xml:space="preserve">avoided challenging the constitutionality of the </w:t>
      </w:r>
      <w:r w:rsidR="00BC25C3" w:rsidRPr="00565666">
        <w:t>BCRA.</w:t>
      </w:r>
      <w:r w:rsidR="003C4B79">
        <w:rPr>
          <w:rStyle w:val="FootnoteReference"/>
        </w:rPr>
        <w:footnoteReference w:id="4"/>
      </w:r>
      <w:r w:rsidR="00BC25C3" w:rsidRPr="00565666">
        <w:t xml:space="preserve"> </w:t>
      </w:r>
      <w:r w:rsidR="008C698D">
        <w:t xml:space="preserve">Rather, Citizens </w:t>
      </w:r>
      <w:r w:rsidR="00E17EA2" w:rsidRPr="00565666">
        <w:t>sought to demonstrate that the law was no</w:t>
      </w:r>
      <w:r w:rsidR="00B931C9" w:rsidRPr="00565666">
        <w:t>t applicable to its documentary</w:t>
      </w:r>
      <w:r w:rsidR="00E17EA2" w:rsidRPr="00565666">
        <w:t xml:space="preserve">.  </w:t>
      </w:r>
      <w:r w:rsidR="008C698D">
        <w:t>Citizens argued</w:t>
      </w:r>
      <w:r w:rsidR="00E17EA2" w:rsidRPr="00565666">
        <w:t xml:space="preserve"> “that </w:t>
      </w:r>
      <w:r w:rsidR="00E17EA2" w:rsidRPr="00565666">
        <w:rPr>
          <w:rFonts w:cs="Times"/>
          <w:shd w:val="clear" w:color="auto" w:fill="FFFFFF"/>
        </w:rPr>
        <w:t>the law did not apply to documentaries broadcast</w:t>
      </w:r>
      <w:r w:rsidR="008C698D">
        <w:rPr>
          <w:rFonts w:cs="Times"/>
          <w:shd w:val="clear" w:color="auto" w:fill="FFFFFF"/>
        </w:rPr>
        <w:t>ed</w:t>
      </w:r>
      <w:r w:rsidR="00E17EA2" w:rsidRPr="00565666">
        <w:rPr>
          <w:rFonts w:cs="Times"/>
          <w:shd w:val="clear" w:color="auto" w:fill="FFFFFF"/>
        </w:rPr>
        <w:t xml:space="preserve"> with video-on-demand technology, only to commercials.</w:t>
      </w:r>
      <w:r w:rsidR="00E17EA2" w:rsidRPr="00565666">
        <w:rPr>
          <w:rStyle w:val="apple-converted-space"/>
          <w:rFonts w:cs="Times"/>
          <w:shd w:val="clear" w:color="auto" w:fill="FFFFFF"/>
        </w:rPr>
        <w:t>”</w:t>
      </w:r>
      <w:r w:rsidR="00B931C9" w:rsidRPr="00565666">
        <w:rPr>
          <w:rStyle w:val="FootnoteReference"/>
          <w:rFonts w:cs="Times"/>
          <w:shd w:val="clear" w:color="auto" w:fill="FFFFFF"/>
        </w:rPr>
        <w:footnoteReference w:id="5"/>
      </w:r>
      <w:r w:rsidR="00E17EA2" w:rsidRPr="00565666">
        <w:t xml:space="preserve"> </w:t>
      </w:r>
      <w:r w:rsidR="00957D20">
        <w:t xml:space="preserve">Citizens </w:t>
      </w:r>
      <w:r w:rsidR="00E17EA2" w:rsidRPr="00565666">
        <w:t>also sought to clarify that the documentary</w:t>
      </w:r>
      <w:r w:rsidRPr="00565666">
        <w:t xml:space="preserve"> </w:t>
      </w:r>
      <w:r w:rsidR="00E17EA2" w:rsidRPr="00565666">
        <w:t xml:space="preserve">does </w:t>
      </w:r>
      <w:r w:rsidRPr="00565666">
        <w:t>not advocate for the viewer to vote or not</w:t>
      </w:r>
      <w:r w:rsidR="009D2467" w:rsidRPr="00565666">
        <w:t xml:space="preserve"> vote for a certain candidate, i</w:t>
      </w:r>
      <w:r w:rsidRPr="00565666">
        <w:t xml:space="preserve">t merely documented facts regarding a Senator who just happened to be running for President. </w:t>
      </w:r>
      <w:r w:rsidR="00E17EA2" w:rsidRPr="00565666">
        <w:t>De</w:t>
      </w:r>
      <w:r w:rsidR="00010E4B" w:rsidRPr="00565666">
        <w:t>spite the</w:t>
      </w:r>
      <w:r w:rsidR="00474AA8">
        <w:t xml:space="preserve"> </w:t>
      </w:r>
      <w:r w:rsidR="00010E4B" w:rsidRPr="00565666">
        <w:t>arguments being made</w:t>
      </w:r>
      <w:r w:rsidR="003C4B79">
        <w:t>, several Justices chose to</w:t>
      </w:r>
      <w:r w:rsidR="00010E4B" w:rsidRPr="00565666">
        <w:t xml:space="preserve"> </w:t>
      </w:r>
      <w:r w:rsidR="003C4B79">
        <w:t>“</w:t>
      </w:r>
      <w:r w:rsidR="00E17EA2" w:rsidRPr="00565666">
        <w:rPr>
          <w:rFonts w:cs="Times"/>
          <w:shd w:val="clear" w:color="auto" w:fill="FFFFFF"/>
        </w:rPr>
        <w:t>turn</w:t>
      </w:r>
      <w:r w:rsidR="003C4B79">
        <w:rPr>
          <w:rFonts w:cs="Times"/>
          <w:shd w:val="clear" w:color="auto" w:fill="FFFFFF"/>
        </w:rPr>
        <w:t>[]</w:t>
      </w:r>
      <w:r w:rsidR="00E17EA2" w:rsidRPr="00565666">
        <w:rPr>
          <w:rFonts w:cs="Times"/>
          <w:shd w:val="clear" w:color="auto" w:fill="FFFFFF"/>
        </w:rPr>
        <w:t xml:space="preserve"> a fairly obscure case about campaign-finance reform into a battle over government censorship.</w:t>
      </w:r>
      <w:r w:rsidR="00010E4B" w:rsidRPr="00565666">
        <w:rPr>
          <w:rFonts w:cs="Times"/>
          <w:shd w:val="clear" w:color="auto" w:fill="FFFFFF"/>
        </w:rPr>
        <w:t>”</w:t>
      </w:r>
      <w:r w:rsidR="00B931C9" w:rsidRPr="00565666">
        <w:rPr>
          <w:rStyle w:val="FootnoteReference"/>
          <w:rFonts w:cs="Times"/>
          <w:shd w:val="clear" w:color="auto" w:fill="FFFFFF"/>
        </w:rPr>
        <w:footnoteReference w:id="6"/>
      </w:r>
      <w:r w:rsidR="00DC16BE" w:rsidRPr="00565666">
        <w:rPr>
          <w:rFonts w:cs="Times"/>
          <w:shd w:val="clear" w:color="auto" w:fill="FFFFFF"/>
        </w:rPr>
        <w:t xml:space="preserve"> </w:t>
      </w:r>
      <w:r w:rsidR="003C4B79">
        <w:rPr>
          <w:rFonts w:cs="Times"/>
          <w:shd w:val="clear" w:color="auto" w:fill="FFFFFF"/>
        </w:rPr>
        <w:t>More specifically:</w:t>
      </w:r>
    </w:p>
    <w:p w:rsidR="00EB5ED7" w:rsidRDefault="00DC16BE" w:rsidP="003C4B79">
      <w:pPr>
        <w:spacing w:after="0" w:line="240" w:lineRule="auto"/>
        <w:ind w:left="1440" w:right="1440"/>
        <w:jc w:val="both"/>
        <w:rPr>
          <w:rFonts w:cs="Arial"/>
        </w:rPr>
      </w:pPr>
      <w:r w:rsidRPr="00565666">
        <w:rPr>
          <w:rFonts w:cs="Arial"/>
        </w:rPr>
        <w:t>In Citizens United, the Supreme Court reached out to decide the facial constitutional validity of provisions of BCRA, a question not in dispute between the parties and not necessary to decide the case before it. The only questions petitioner Citizens United had asked the Court to resolve</w:t>
      </w:r>
      <w:r w:rsidRPr="00565666">
        <w:rPr>
          <w:rFonts w:cs="Arial"/>
          <w:vertAlign w:val="superscript"/>
        </w:rPr>
        <w:t xml:space="preserve"> </w:t>
      </w:r>
      <w:r w:rsidRPr="00565666">
        <w:rPr>
          <w:rFonts w:cs="Arial"/>
        </w:rPr>
        <w:lastRenderedPageBreak/>
        <w:t>were whether the particular provisions of BCRA</w:t>
      </w:r>
      <w:r w:rsidRPr="00565666">
        <w:rPr>
          <w:rStyle w:val="apple-converted-space"/>
          <w:rFonts w:cs="Arial"/>
        </w:rPr>
        <w:t xml:space="preserve"> </w:t>
      </w:r>
      <w:r w:rsidRPr="00565666">
        <w:rPr>
          <w:rFonts w:cs="Arial"/>
        </w:rPr>
        <w:t>were invalid as applied to video-on-demand showings of its documentary movie about Hillary Clinton and to advertisements for the movie.</w:t>
      </w:r>
      <w:r w:rsidRPr="00565666">
        <w:rPr>
          <w:rFonts w:cs="Arial"/>
          <w:vertAlign w:val="superscript"/>
        </w:rPr>
        <w:t xml:space="preserve"> </w:t>
      </w:r>
      <w:r w:rsidRPr="00565666">
        <w:rPr>
          <w:rFonts w:cs="Arial"/>
        </w:rPr>
        <w:t xml:space="preserve">If the Court had found the provisions invalid as applied, there would have been no need to declare the statute unconstitutional on its face or to overrule precedent. Instead, however, the Court, after hearing oral argument, asked for supplemental briefing and argument, instructing the parties to address whether the Court should overrule two prior cases, </w:t>
      </w:r>
      <w:r w:rsidRPr="003C4B79">
        <w:rPr>
          <w:rFonts w:cs="Arial"/>
          <w:i/>
        </w:rPr>
        <w:t>Austin v. Michigan Chamber of Commerce,</w:t>
      </w:r>
      <w:r w:rsidRPr="003C4B79">
        <w:rPr>
          <w:rFonts w:cs="Arial"/>
          <w:i/>
          <w:vertAlign w:val="superscript"/>
        </w:rPr>
        <w:t xml:space="preserve"> </w:t>
      </w:r>
      <w:r w:rsidRPr="003C4B79">
        <w:rPr>
          <w:rFonts w:cs="Arial"/>
        </w:rPr>
        <w:t>and</w:t>
      </w:r>
      <w:r w:rsidRPr="003C4B79">
        <w:rPr>
          <w:rFonts w:cs="Arial"/>
          <w:i/>
        </w:rPr>
        <w:t xml:space="preserve"> McConnell v. Federal Election Commission</w:t>
      </w:r>
      <w:r w:rsidRPr="00565666">
        <w:rPr>
          <w:rFonts w:cs="Arial"/>
        </w:rPr>
        <w:t>,</w:t>
      </w:r>
      <w:r w:rsidRPr="00565666">
        <w:rPr>
          <w:rStyle w:val="apple-converted-space"/>
          <w:rFonts w:cs="Arial"/>
        </w:rPr>
        <w:t> </w:t>
      </w:r>
      <w:r w:rsidRPr="00565666">
        <w:rPr>
          <w:rFonts w:cs="Arial"/>
        </w:rPr>
        <w:t>which had upheld the issue of facial validity of Section 203 of BCRA</w:t>
      </w:r>
      <w:r w:rsidR="00B931C9" w:rsidRPr="00565666">
        <w:rPr>
          <w:rFonts w:cs="Arial"/>
        </w:rPr>
        <w:t>.</w:t>
      </w:r>
      <w:r w:rsidR="00B931C9" w:rsidRPr="00565666">
        <w:rPr>
          <w:rStyle w:val="FootnoteReference"/>
          <w:rFonts w:cs="Arial"/>
        </w:rPr>
        <w:footnoteReference w:id="7"/>
      </w:r>
    </w:p>
    <w:p w:rsidR="003C4B79" w:rsidRDefault="003C4B79" w:rsidP="003C4B79">
      <w:pPr>
        <w:spacing w:after="0" w:line="240" w:lineRule="auto"/>
        <w:ind w:left="1440" w:right="1440"/>
        <w:jc w:val="both"/>
        <w:rPr>
          <w:rFonts w:cs="Arial"/>
        </w:rPr>
      </w:pPr>
    </w:p>
    <w:p w:rsidR="00474AA8" w:rsidRDefault="00B0032B" w:rsidP="00474AA8">
      <w:pPr>
        <w:spacing w:after="0" w:line="480" w:lineRule="auto"/>
        <w:ind w:firstLine="720"/>
        <w:jc w:val="both"/>
      </w:pPr>
      <w:r w:rsidRPr="00565666">
        <w:t xml:space="preserve">In </w:t>
      </w:r>
      <w:r w:rsidR="0070560E" w:rsidRPr="00565666">
        <w:t xml:space="preserve">its decision, the Court </w:t>
      </w:r>
      <w:r w:rsidR="000F48DC">
        <w:t xml:space="preserve">overruled </w:t>
      </w:r>
      <w:r w:rsidRPr="00565666">
        <w:t>precedent</w:t>
      </w:r>
      <w:r w:rsidR="0053596E" w:rsidRPr="00565666">
        <w:t xml:space="preserve"> set forth by </w:t>
      </w:r>
      <w:r w:rsidR="0053596E" w:rsidRPr="00565666">
        <w:rPr>
          <w:i/>
        </w:rPr>
        <w:t>Austin</w:t>
      </w:r>
      <w:r w:rsidR="0053596E" w:rsidRPr="00565666">
        <w:t xml:space="preserve"> and </w:t>
      </w:r>
      <w:r w:rsidR="0053596E" w:rsidRPr="00565666">
        <w:rPr>
          <w:i/>
        </w:rPr>
        <w:t>McConnell,</w:t>
      </w:r>
      <w:r w:rsidRPr="00565666">
        <w:t xml:space="preserve"> which clearly established the constitutionality of the BCRA.</w:t>
      </w:r>
      <w:r w:rsidR="0053596E" w:rsidRPr="00565666">
        <w:t xml:space="preserve">  </w:t>
      </w:r>
      <w:r w:rsidRPr="00565666">
        <w:t xml:space="preserve">Despite </w:t>
      </w:r>
      <w:r w:rsidR="00565666">
        <w:t>no</w:t>
      </w:r>
      <w:r w:rsidRPr="00565666">
        <w:t xml:space="preserve"> challenge to the constitutionality of the law itself, and there being two cases </w:t>
      </w:r>
      <w:r w:rsidR="0053596E" w:rsidRPr="00565666">
        <w:t>reaffirming its</w:t>
      </w:r>
      <w:r w:rsidRPr="00565666">
        <w:t xml:space="preserve"> validity, the Court decided an issue</w:t>
      </w:r>
      <w:r w:rsidR="0053596E" w:rsidRPr="00565666">
        <w:t xml:space="preserve"> in </w:t>
      </w:r>
      <w:r w:rsidR="0053596E" w:rsidRPr="00565666">
        <w:rPr>
          <w:i/>
        </w:rPr>
        <w:t>Citizens</w:t>
      </w:r>
      <w:r w:rsidRPr="00565666">
        <w:t xml:space="preserve"> </w:t>
      </w:r>
      <w:r w:rsidR="00CA0FA7" w:rsidRPr="00CA0FA7">
        <w:rPr>
          <w:i/>
        </w:rPr>
        <w:t>United</w:t>
      </w:r>
      <w:r w:rsidR="00CA0FA7">
        <w:t xml:space="preserve"> </w:t>
      </w:r>
      <w:r w:rsidRPr="00565666">
        <w:t xml:space="preserve">that was not presented by either litigant. In this sense, the Court acted as a legislature and used the case as a channel for changing the law </w:t>
      </w:r>
      <w:r w:rsidR="0070560E" w:rsidRPr="00565666">
        <w:t>to what the</w:t>
      </w:r>
      <w:r w:rsidRPr="00565666">
        <w:t xml:space="preserve"> Court felt it should be</w:t>
      </w:r>
      <w:r w:rsidR="0053596E" w:rsidRPr="00565666">
        <w:t xml:space="preserve">. </w:t>
      </w:r>
      <w:r w:rsidR="00474AA8">
        <w:t xml:space="preserve">Most notably, </w:t>
      </w:r>
      <w:r w:rsidR="00BC021D">
        <w:t>Justice Stevens</w:t>
      </w:r>
      <w:r w:rsidR="00474AA8">
        <w:t>, in his dissent, offers immense criticism on the process utilized by the Court in reaching its decision:</w:t>
      </w:r>
      <w:r w:rsidR="00BC021D">
        <w:t xml:space="preserve"> </w:t>
      </w:r>
    </w:p>
    <w:p w:rsidR="004D4803" w:rsidRDefault="00BC021D" w:rsidP="00474AA8">
      <w:pPr>
        <w:pStyle w:val="NoSpacing"/>
        <w:ind w:left="1440" w:right="1440"/>
        <w:jc w:val="both"/>
      </w:pPr>
      <w:r>
        <w:t>Today’s decision is backwards in many senses</w:t>
      </w:r>
      <w:r w:rsidRPr="00BC021D">
        <w:rPr>
          <w:b/>
        </w:rPr>
        <w:t>. It elevates the majority’s agenda over the litigants’ submissions</w:t>
      </w:r>
      <w:r>
        <w:t>, facial attacks over as-applied claims, broad constitutional theories over narrow statutory grounds, individual dissenting opinions over precedential holdings, assertion over tradition, absolutism over empiri</w:t>
      </w:r>
      <w:r w:rsidR="00A02C65">
        <w:t>cism, rhetoric over reality.</w:t>
      </w:r>
      <w:r w:rsidR="00A02C65">
        <w:rPr>
          <w:rStyle w:val="FootnoteReference"/>
        </w:rPr>
        <w:footnoteReference w:id="8"/>
      </w:r>
    </w:p>
    <w:p w:rsidR="00085987" w:rsidRDefault="00085987" w:rsidP="001877F3">
      <w:pPr>
        <w:pStyle w:val="NoSpacing"/>
        <w:ind w:left="1440" w:right="1440"/>
        <w:jc w:val="both"/>
      </w:pPr>
    </w:p>
    <w:p w:rsidR="00474AA8" w:rsidRDefault="0053596E" w:rsidP="00474AA8">
      <w:pPr>
        <w:spacing w:after="0" w:line="480" w:lineRule="auto"/>
        <w:ind w:firstLine="720"/>
        <w:jc w:val="both"/>
        <w:rPr>
          <w:rFonts w:cs="Arial"/>
        </w:rPr>
      </w:pPr>
      <w:r w:rsidRPr="00565666">
        <w:t>The Court acted outside the scope of its powers</w:t>
      </w:r>
      <w:r w:rsidR="00957D20">
        <w:t xml:space="preserve"> and “</w:t>
      </w:r>
      <w:r w:rsidR="00957D20">
        <w:rPr>
          <w:rFonts w:cs="Arial"/>
        </w:rPr>
        <w:t>no longer act[ed]</w:t>
      </w:r>
      <w:r w:rsidR="00474AA8">
        <w:rPr>
          <w:rFonts w:cs="Arial"/>
        </w:rPr>
        <w:t xml:space="preserve"> as a court when it change[d] </w:t>
      </w:r>
      <w:r w:rsidRPr="00565666">
        <w:rPr>
          <w:rFonts w:cs="Arial"/>
        </w:rPr>
        <w:t>the nature of the case the parties brought in order to create a</w:t>
      </w:r>
      <w:r w:rsidR="00957D20">
        <w:rPr>
          <w:rFonts w:cs="Arial"/>
        </w:rPr>
        <w:t>n opportunity to change the law.”</w:t>
      </w:r>
      <w:r w:rsidR="00957D20" w:rsidRPr="00565666">
        <w:rPr>
          <w:rStyle w:val="FootnoteReference"/>
          <w:rFonts w:cs="Arial"/>
        </w:rPr>
        <w:footnoteReference w:id="9"/>
      </w:r>
      <w:r w:rsidR="00474AA8">
        <w:rPr>
          <w:rFonts w:cs="Arial"/>
        </w:rPr>
        <w:t xml:space="preserve"> </w:t>
      </w:r>
      <w:r w:rsidR="00957D20">
        <w:rPr>
          <w:rFonts w:cs="Arial"/>
        </w:rPr>
        <w:t xml:space="preserve">In </w:t>
      </w:r>
      <w:r w:rsidR="00957D20" w:rsidRPr="00CA0FA7">
        <w:rPr>
          <w:rFonts w:cs="Arial"/>
          <w:i/>
        </w:rPr>
        <w:t>Citizens United</w:t>
      </w:r>
      <w:r w:rsidR="00957D20">
        <w:rPr>
          <w:rFonts w:cs="Arial"/>
        </w:rPr>
        <w:t>, the Court “reache[d]</w:t>
      </w:r>
      <w:r w:rsidRPr="00565666">
        <w:rPr>
          <w:rFonts w:cs="Arial"/>
        </w:rPr>
        <w:t xml:space="preserve"> out to decide issues not properly before it and not based </w:t>
      </w:r>
      <w:r w:rsidR="00474AA8">
        <w:rPr>
          <w:rFonts w:cs="Arial"/>
        </w:rPr>
        <w:t>on</w:t>
      </w:r>
      <w:r w:rsidRPr="00565666">
        <w:rPr>
          <w:rFonts w:cs="Arial"/>
        </w:rPr>
        <w:t xml:space="preserve"> a record or decisions below</w:t>
      </w:r>
      <w:r w:rsidR="00957D20">
        <w:rPr>
          <w:rFonts w:cs="Arial"/>
        </w:rPr>
        <w:t>[.]</w:t>
      </w:r>
      <w:r w:rsidRPr="00565666">
        <w:rPr>
          <w:rFonts w:cs="Arial"/>
        </w:rPr>
        <w:t>”</w:t>
      </w:r>
      <w:r w:rsidR="00957D20">
        <w:rPr>
          <w:rStyle w:val="FootnoteReference"/>
          <w:rFonts w:cs="Arial"/>
        </w:rPr>
        <w:footnoteReference w:id="10"/>
      </w:r>
      <w:r w:rsidRPr="00565666">
        <w:rPr>
          <w:rFonts w:cs="Arial"/>
        </w:rPr>
        <w:t xml:space="preserve"> This example of judicial activism is a threat to the core values of American democracy. </w:t>
      </w:r>
      <w:r w:rsidR="00957D20">
        <w:rPr>
          <w:rFonts w:cs="Arial"/>
        </w:rPr>
        <w:t>The</w:t>
      </w:r>
      <w:r w:rsidRPr="00565666">
        <w:rPr>
          <w:rFonts w:cs="Arial"/>
        </w:rPr>
        <w:t xml:space="preserve"> Court </w:t>
      </w:r>
      <w:r w:rsidR="00957D20">
        <w:rPr>
          <w:rFonts w:cs="Arial"/>
        </w:rPr>
        <w:t>justified its</w:t>
      </w:r>
      <w:r w:rsidR="0070560E" w:rsidRPr="00565666">
        <w:rPr>
          <w:rFonts w:cs="Arial"/>
        </w:rPr>
        <w:t xml:space="preserve"> opinion using the</w:t>
      </w:r>
      <w:r w:rsidRPr="00565666">
        <w:rPr>
          <w:rFonts w:cs="Arial"/>
        </w:rPr>
        <w:t xml:space="preserve"> Constitution </w:t>
      </w:r>
      <w:r w:rsidR="0070560E" w:rsidRPr="00565666">
        <w:rPr>
          <w:rFonts w:cs="Arial"/>
        </w:rPr>
        <w:t xml:space="preserve">as a shield </w:t>
      </w:r>
      <w:r w:rsidR="00866CE4" w:rsidRPr="00565666">
        <w:rPr>
          <w:rFonts w:cs="Arial"/>
        </w:rPr>
        <w:t xml:space="preserve">while </w:t>
      </w:r>
      <w:r w:rsidR="00957D20">
        <w:rPr>
          <w:rFonts w:cs="Arial"/>
        </w:rPr>
        <w:t>its</w:t>
      </w:r>
      <w:r w:rsidR="00866CE4" w:rsidRPr="00565666">
        <w:rPr>
          <w:rFonts w:cs="Arial"/>
        </w:rPr>
        <w:t xml:space="preserve"> decision raises questions about </w:t>
      </w:r>
      <w:r w:rsidR="00474AA8">
        <w:rPr>
          <w:rFonts w:cs="Arial"/>
        </w:rPr>
        <w:t>the Court’s</w:t>
      </w:r>
      <w:r w:rsidR="00866CE4" w:rsidRPr="00565666">
        <w:rPr>
          <w:rFonts w:cs="Arial"/>
        </w:rPr>
        <w:t xml:space="preserve"> adherence to the structure of the Constitution itself. </w:t>
      </w:r>
    </w:p>
    <w:p w:rsidR="00D70E3D" w:rsidRDefault="00F44FFF" w:rsidP="00474AA8">
      <w:pPr>
        <w:spacing w:after="0" w:line="480" w:lineRule="auto"/>
        <w:ind w:firstLine="720"/>
        <w:jc w:val="both"/>
        <w:rPr>
          <w:rFonts w:cs="Arial"/>
        </w:rPr>
      </w:pPr>
      <w:r w:rsidRPr="00565666">
        <w:rPr>
          <w:rFonts w:cs="Arial"/>
        </w:rPr>
        <w:lastRenderedPageBreak/>
        <w:t>By recognizing a corporation as bei</w:t>
      </w:r>
      <w:r w:rsidR="00474AA8">
        <w:rPr>
          <w:rFonts w:cs="Arial"/>
        </w:rPr>
        <w:t>ng equal to people, the Supreme Court is undermining</w:t>
      </w:r>
      <w:r w:rsidR="00957D20">
        <w:rPr>
          <w:rFonts w:cs="Arial"/>
        </w:rPr>
        <w:t xml:space="preserve"> th</w:t>
      </w:r>
      <w:r w:rsidRPr="00565666">
        <w:rPr>
          <w:rFonts w:cs="Arial"/>
        </w:rPr>
        <w:t>e quality of human life and the principles set forth by the Constitution.</w:t>
      </w:r>
      <w:r w:rsidR="00085987">
        <w:rPr>
          <w:rFonts w:cs="Arial"/>
        </w:rPr>
        <w:t xml:space="preserve"> </w:t>
      </w:r>
      <w:r w:rsidR="005231FD">
        <w:rPr>
          <w:rFonts w:cs="Arial"/>
        </w:rPr>
        <w:t>Justice Stevens, in identifying</w:t>
      </w:r>
      <w:r w:rsidR="000A618B">
        <w:rPr>
          <w:rFonts w:cs="Arial"/>
        </w:rPr>
        <w:t xml:space="preserve"> problems inherent from attempting to equate corpora</w:t>
      </w:r>
      <w:r w:rsidR="005231FD">
        <w:rPr>
          <w:rFonts w:cs="Arial"/>
        </w:rPr>
        <w:t>tions to people,</w:t>
      </w:r>
      <w:r w:rsidR="000A618B">
        <w:rPr>
          <w:rFonts w:cs="Arial"/>
        </w:rPr>
        <w:t xml:space="preserve"> observed:</w:t>
      </w:r>
    </w:p>
    <w:p w:rsidR="00D70E3D" w:rsidRDefault="00D70E3D" w:rsidP="001877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440" w:right="1440"/>
        <w:jc w:val="both"/>
        <w:rPr>
          <w:rFonts w:cs="Segoe Print"/>
          <w:lang w:val="en"/>
        </w:rPr>
      </w:pPr>
      <w:r w:rsidRPr="00D70E3D">
        <w:rPr>
          <w:rFonts w:cs="Century Schoolbook"/>
          <w:color w:val="000000"/>
          <w:lang w:val="en"/>
        </w:rPr>
        <w:t>In the context of election to public office, the distinction between corporate and human speakers is significant. Although they make enormous contributions to our society, corporations are not actually members of it. They cannot vote or run for office. Because they may be managed and controlled by nonresidents, their interests may conflict in fundamental respects with the interests of eligible</w:t>
      </w:r>
      <w:r>
        <w:rPr>
          <w:rFonts w:cs="Century Schoolbook"/>
          <w:color w:val="000000"/>
          <w:lang w:val="en"/>
        </w:rPr>
        <w:t xml:space="preserve"> voters.</w:t>
      </w:r>
      <w:r>
        <w:rPr>
          <w:rStyle w:val="FootnoteReference"/>
          <w:rFonts w:cs="Century Schoolbook"/>
          <w:color w:val="000000"/>
          <w:lang w:val="en"/>
        </w:rPr>
        <w:footnoteReference w:id="11"/>
      </w:r>
    </w:p>
    <w:p w:rsidR="00D70E3D" w:rsidRPr="00D70E3D" w:rsidRDefault="00D70E3D" w:rsidP="001877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440" w:right="1440"/>
        <w:jc w:val="both"/>
        <w:rPr>
          <w:rFonts w:cs="Segoe Print"/>
          <w:lang w:val="en"/>
        </w:rPr>
      </w:pPr>
    </w:p>
    <w:p w:rsidR="00430068" w:rsidRDefault="00F44FFF" w:rsidP="001877F3">
      <w:pPr>
        <w:spacing w:after="0" w:line="480" w:lineRule="auto"/>
        <w:jc w:val="both"/>
        <w:rPr>
          <w:rFonts w:cs="Arial"/>
        </w:rPr>
      </w:pPr>
      <w:r w:rsidRPr="00565666">
        <w:rPr>
          <w:rFonts w:cs="Arial"/>
        </w:rPr>
        <w:t xml:space="preserve">The Constitution makes a clear distinction that the rights set forth are for the </w:t>
      </w:r>
      <w:r w:rsidRPr="00957D20">
        <w:rPr>
          <w:rFonts w:cs="Arial"/>
          <w:b/>
          <w:i/>
        </w:rPr>
        <w:t>people</w:t>
      </w:r>
      <w:r w:rsidRPr="00565666">
        <w:rPr>
          <w:rFonts w:cs="Arial"/>
        </w:rPr>
        <w:t>.</w:t>
      </w:r>
      <w:r w:rsidR="0070560E" w:rsidRPr="00565666">
        <w:rPr>
          <w:rFonts w:cs="Arial"/>
        </w:rPr>
        <w:t xml:space="preserve"> </w:t>
      </w:r>
      <w:r w:rsidR="00430068">
        <w:rPr>
          <w:rFonts w:cs="Arial"/>
        </w:rPr>
        <w:t xml:space="preserve">The dissent in </w:t>
      </w:r>
      <w:r w:rsidR="00430068" w:rsidRPr="00430068">
        <w:rPr>
          <w:rFonts w:cs="Arial"/>
          <w:i/>
        </w:rPr>
        <w:t>Citizens United</w:t>
      </w:r>
      <w:r w:rsidR="00D70E3D">
        <w:rPr>
          <w:rFonts w:cs="Arial"/>
          <w:i/>
        </w:rPr>
        <w:t xml:space="preserve"> </w:t>
      </w:r>
      <w:r w:rsidR="00D70E3D">
        <w:rPr>
          <w:rFonts w:cs="Arial"/>
        </w:rPr>
        <w:t xml:space="preserve">further </w:t>
      </w:r>
      <w:r w:rsidR="000A618B">
        <w:rPr>
          <w:rFonts w:cs="Arial"/>
        </w:rPr>
        <w:t>elaborates</w:t>
      </w:r>
      <w:r w:rsidR="00430068">
        <w:rPr>
          <w:rFonts w:cs="Arial"/>
        </w:rPr>
        <w:t xml:space="preserve"> </w:t>
      </w:r>
      <w:r w:rsidR="000A618B">
        <w:rPr>
          <w:rFonts w:cs="Arial"/>
        </w:rPr>
        <w:t>upon this principle</w:t>
      </w:r>
      <w:r w:rsidR="00430068">
        <w:rPr>
          <w:rFonts w:cs="Arial"/>
        </w:rPr>
        <w:t>:</w:t>
      </w:r>
    </w:p>
    <w:p w:rsidR="00430068" w:rsidRDefault="00430068" w:rsidP="001877F3">
      <w:pPr>
        <w:pStyle w:val="NoSpacing"/>
        <w:ind w:left="1440" w:right="1440"/>
        <w:jc w:val="both"/>
      </w:pPr>
      <w:r>
        <w:t>It might also be added that corporations have no consciences, no beliefs, no feelings, no thoughts, no desires. Corporations help structure and facilitate the activities of human beings, to</w:t>
      </w:r>
      <w:r w:rsidR="000A618B">
        <w:t xml:space="preserve"> be sure, and their ‘personhood’</w:t>
      </w:r>
      <w:r>
        <w:t xml:space="preserve"> often serves as a useful legal fiction. But they are not themselves membe</w:t>
      </w:r>
      <w:r w:rsidR="000A618B">
        <w:t>rs of ‘We the People’</w:t>
      </w:r>
      <w:r>
        <w:t xml:space="preserve"> by whom and for whom our Constitution was established.</w:t>
      </w:r>
      <w:r>
        <w:rPr>
          <w:rStyle w:val="FootnoteReference"/>
        </w:rPr>
        <w:footnoteReference w:id="12"/>
      </w:r>
    </w:p>
    <w:p w:rsidR="00430068" w:rsidRDefault="00430068" w:rsidP="001877F3">
      <w:pPr>
        <w:pStyle w:val="NoSpacing"/>
        <w:ind w:left="1440" w:right="1440"/>
        <w:jc w:val="both"/>
        <w:rPr>
          <w:rFonts w:cs="Arial"/>
        </w:rPr>
      </w:pPr>
    </w:p>
    <w:p w:rsidR="00156999" w:rsidRPr="00B73F7E" w:rsidRDefault="00430068" w:rsidP="00D913C3">
      <w:pPr>
        <w:spacing w:after="0" w:line="480" w:lineRule="auto"/>
        <w:ind w:firstLine="720"/>
        <w:jc w:val="both"/>
        <w:rPr>
          <w:rFonts w:cs="Arial"/>
        </w:rPr>
      </w:pPr>
      <w:r>
        <w:rPr>
          <w:rFonts w:cs="Arial"/>
        </w:rPr>
        <w:t>The Constitution was established for the people, not corporations</w:t>
      </w:r>
      <w:r w:rsidR="0070560E" w:rsidRPr="00565666">
        <w:rPr>
          <w:rFonts w:cs="Arial"/>
        </w:rPr>
        <w:t>.</w:t>
      </w:r>
      <w:r>
        <w:rPr>
          <w:rFonts w:cs="Arial"/>
        </w:rPr>
        <w:t xml:space="preserve"> While corporations should have protections, their interests should not trump the rights of the people.</w:t>
      </w:r>
      <w:r w:rsidR="00F44FFF" w:rsidRPr="00565666">
        <w:rPr>
          <w:rFonts w:cs="Arial"/>
        </w:rPr>
        <w:t xml:space="preserve"> Justice Ginsburg, who joined the dissent in </w:t>
      </w:r>
      <w:r w:rsidR="00F44FFF" w:rsidRPr="00565666">
        <w:rPr>
          <w:rFonts w:cs="Arial"/>
          <w:i/>
        </w:rPr>
        <w:t>Citizens</w:t>
      </w:r>
      <w:r w:rsidR="00957D20">
        <w:rPr>
          <w:rFonts w:cs="Arial"/>
        </w:rPr>
        <w:t xml:space="preserve"> </w:t>
      </w:r>
      <w:r w:rsidR="00957D20">
        <w:rPr>
          <w:rFonts w:cs="Arial"/>
          <w:i/>
        </w:rPr>
        <w:t>United</w:t>
      </w:r>
      <w:r w:rsidR="00F44FFF" w:rsidRPr="00565666">
        <w:rPr>
          <w:rFonts w:cs="Arial"/>
        </w:rPr>
        <w:t xml:space="preserve">, </w:t>
      </w:r>
      <w:r w:rsidR="000A618B">
        <w:rPr>
          <w:rFonts w:cs="Arial"/>
        </w:rPr>
        <w:t>articulated this point in a question she posed to</w:t>
      </w:r>
      <w:r w:rsidR="00EE2729" w:rsidRPr="00565666">
        <w:rPr>
          <w:rFonts w:cs="Arial"/>
        </w:rPr>
        <w:t xml:space="preserve"> </w:t>
      </w:r>
      <w:r w:rsidR="000A618B">
        <w:rPr>
          <w:rFonts w:cs="Arial"/>
        </w:rPr>
        <w:t>counsel for Citizens</w:t>
      </w:r>
      <w:r w:rsidR="00D913C3">
        <w:rPr>
          <w:rFonts w:cs="Arial"/>
        </w:rPr>
        <w:t xml:space="preserve"> during oral arguments. Specifically, she asked:</w:t>
      </w:r>
      <w:r w:rsidR="00F44FFF" w:rsidRPr="00565666">
        <w:rPr>
          <w:rFonts w:cs="Arial"/>
        </w:rPr>
        <w:t xml:space="preserve"> “</w:t>
      </w:r>
      <w:r w:rsidR="00F44FFF" w:rsidRPr="00565666">
        <w:rPr>
          <w:rFonts w:cs="Times"/>
          <w:shd w:val="clear" w:color="auto" w:fill="FFFFFF"/>
        </w:rPr>
        <w:t>are you taking the position that there is no difference between the First Amendment rights of a corporation and those of an individual? A corporation, after all, is not endowed by its creator with inalienable rights. So is there any distinction that Congress could draw between corporations and natural human beings for purposes of campaign finance?”</w:t>
      </w:r>
      <w:r w:rsidR="00EE2729" w:rsidRPr="00565666">
        <w:rPr>
          <w:rStyle w:val="FootnoteReference"/>
          <w:rFonts w:cs="Times"/>
          <w:shd w:val="clear" w:color="auto" w:fill="FFFFFF"/>
        </w:rPr>
        <w:footnoteReference w:id="13"/>
      </w:r>
      <w:r w:rsidR="00D913C3">
        <w:rPr>
          <w:rFonts w:cs="Times"/>
          <w:shd w:val="clear" w:color="auto" w:fill="FFFFFF"/>
        </w:rPr>
        <w:t xml:space="preserve"> </w:t>
      </w:r>
      <w:r w:rsidR="0070560E" w:rsidRPr="00565666">
        <w:rPr>
          <w:rFonts w:cs="Times"/>
          <w:shd w:val="clear" w:color="auto" w:fill="FFFFFF"/>
        </w:rPr>
        <w:t xml:space="preserve">Justice Stevens, </w:t>
      </w:r>
      <w:r w:rsidR="00D913C3">
        <w:rPr>
          <w:rFonts w:cs="Times"/>
          <w:shd w:val="clear" w:color="auto" w:fill="FFFFFF"/>
        </w:rPr>
        <w:t>expounds</w:t>
      </w:r>
      <w:r w:rsidR="0070560E" w:rsidRPr="00565666">
        <w:rPr>
          <w:rFonts w:cs="Times"/>
          <w:shd w:val="clear" w:color="auto" w:fill="FFFFFF"/>
        </w:rPr>
        <w:t xml:space="preserve"> on this issue and </w:t>
      </w:r>
      <w:r w:rsidR="00D913C3">
        <w:rPr>
          <w:rFonts w:cs="Times"/>
          <w:shd w:val="clear" w:color="auto" w:fill="FFFFFF"/>
        </w:rPr>
        <w:t>notes</w:t>
      </w:r>
      <w:r w:rsidR="0070560E" w:rsidRPr="00565666">
        <w:rPr>
          <w:rFonts w:cs="Times"/>
          <w:shd w:val="clear" w:color="auto" w:fill="FFFFFF"/>
        </w:rPr>
        <w:t xml:space="preserve"> the inconsistencies in attempting to categorize corporations as people with the same protections afforded to an individual person </w:t>
      </w:r>
      <w:r w:rsidR="00957D20">
        <w:rPr>
          <w:rFonts w:cs="Times"/>
          <w:shd w:val="clear" w:color="auto" w:fill="FFFFFF"/>
        </w:rPr>
        <w:t xml:space="preserve">who can vote. </w:t>
      </w:r>
      <w:r w:rsidR="00D913C3">
        <w:rPr>
          <w:rFonts w:cs="Times"/>
          <w:shd w:val="clear" w:color="auto" w:fill="FFFFFF"/>
        </w:rPr>
        <w:t>Justice Steven</w:t>
      </w:r>
      <w:r w:rsidR="00957D20">
        <w:rPr>
          <w:rFonts w:cs="Times"/>
          <w:shd w:val="clear" w:color="auto" w:fill="FFFFFF"/>
        </w:rPr>
        <w:t xml:space="preserve">s recognizes that: </w:t>
      </w:r>
    </w:p>
    <w:p w:rsidR="00EE2729" w:rsidRPr="00565666" w:rsidRDefault="00EE2729" w:rsidP="001877F3">
      <w:pPr>
        <w:pStyle w:val="Default"/>
        <w:ind w:left="1440" w:right="1440"/>
        <w:jc w:val="both"/>
        <w:rPr>
          <w:rFonts w:asciiTheme="minorHAnsi" w:hAnsiTheme="minorHAnsi"/>
          <w:sz w:val="22"/>
          <w:szCs w:val="22"/>
        </w:rPr>
      </w:pPr>
      <w:r w:rsidRPr="00565666">
        <w:rPr>
          <w:rFonts w:asciiTheme="minorHAnsi" w:hAnsiTheme="minorHAnsi"/>
          <w:sz w:val="22"/>
          <w:szCs w:val="22"/>
        </w:rPr>
        <w:lastRenderedPageBreak/>
        <w:t>Under the majority’s view, I suppose it may be a First Amendment problem that corporations are not permitted to vote, given that voting is, among other things, a form of speech.</w:t>
      </w:r>
      <w:r w:rsidR="0070560E" w:rsidRPr="00565666">
        <w:rPr>
          <w:rFonts w:asciiTheme="minorHAnsi" w:hAnsiTheme="minorHAnsi"/>
          <w:sz w:val="22"/>
          <w:szCs w:val="22"/>
        </w:rPr>
        <w:t xml:space="preserve"> </w:t>
      </w:r>
      <w:r w:rsidRPr="00565666">
        <w:rPr>
          <w:rFonts w:asciiTheme="minorHAnsi" w:hAnsiTheme="minorHAnsi"/>
          <w:sz w:val="22"/>
          <w:szCs w:val="22"/>
        </w:rPr>
        <w:t xml:space="preserve">In short, the Court dramatically overstates its </w:t>
      </w:r>
      <w:r w:rsidR="0070560E" w:rsidRPr="00565666">
        <w:rPr>
          <w:rFonts w:asciiTheme="minorHAnsi" w:hAnsiTheme="minorHAnsi"/>
          <w:sz w:val="22"/>
          <w:szCs w:val="22"/>
        </w:rPr>
        <w:t>critique of</w:t>
      </w:r>
      <w:r w:rsidRPr="00565666">
        <w:rPr>
          <w:rFonts w:asciiTheme="minorHAnsi" w:hAnsiTheme="minorHAnsi"/>
          <w:sz w:val="22"/>
          <w:szCs w:val="22"/>
        </w:rPr>
        <w:t xml:space="preserve"> identity-based distinctions, without ever explaining </w:t>
      </w:r>
      <w:r w:rsidR="0070560E" w:rsidRPr="00565666">
        <w:rPr>
          <w:rFonts w:asciiTheme="minorHAnsi" w:hAnsiTheme="minorHAnsi"/>
          <w:sz w:val="22"/>
          <w:szCs w:val="22"/>
        </w:rPr>
        <w:t>why corporate</w:t>
      </w:r>
      <w:r w:rsidRPr="00565666">
        <w:rPr>
          <w:rFonts w:asciiTheme="minorHAnsi" w:hAnsiTheme="minorHAnsi"/>
          <w:sz w:val="22"/>
          <w:szCs w:val="22"/>
        </w:rPr>
        <w:t xml:space="preserve"> identity demands the same treatment as individual identity. Only the most wooden approach to </w:t>
      </w:r>
      <w:r w:rsidR="0070560E" w:rsidRPr="00565666">
        <w:rPr>
          <w:rFonts w:asciiTheme="minorHAnsi" w:hAnsiTheme="minorHAnsi"/>
          <w:sz w:val="22"/>
          <w:szCs w:val="22"/>
        </w:rPr>
        <w:t>the First</w:t>
      </w:r>
      <w:r w:rsidRPr="00565666">
        <w:rPr>
          <w:rFonts w:asciiTheme="minorHAnsi" w:hAnsiTheme="minorHAnsi"/>
          <w:sz w:val="22"/>
          <w:szCs w:val="22"/>
        </w:rPr>
        <w:t xml:space="preserve"> Amendment could justify the unprecedented line </w:t>
      </w:r>
      <w:r w:rsidR="0070560E" w:rsidRPr="00565666">
        <w:rPr>
          <w:rFonts w:asciiTheme="minorHAnsi" w:hAnsiTheme="minorHAnsi"/>
          <w:sz w:val="22"/>
          <w:szCs w:val="22"/>
        </w:rPr>
        <w:t>it seeks</w:t>
      </w:r>
      <w:r w:rsidRPr="00565666">
        <w:rPr>
          <w:rFonts w:asciiTheme="minorHAnsi" w:hAnsiTheme="minorHAnsi"/>
          <w:sz w:val="22"/>
          <w:szCs w:val="22"/>
        </w:rPr>
        <w:t xml:space="preserve"> to draw.</w:t>
      </w:r>
      <w:r w:rsidR="0070560E" w:rsidRPr="00565666">
        <w:rPr>
          <w:rStyle w:val="FootnoteReference"/>
          <w:rFonts w:asciiTheme="minorHAnsi" w:hAnsiTheme="minorHAnsi"/>
          <w:sz w:val="22"/>
          <w:szCs w:val="22"/>
        </w:rPr>
        <w:footnoteReference w:id="14"/>
      </w:r>
    </w:p>
    <w:p w:rsidR="0070560E" w:rsidRPr="00565666" w:rsidRDefault="0070560E" w:rsidP="001877F3">
      <w:pPr>
        <w:pStyle w:val="Default"/>
        <w:ind w:right="1440"/>
        <w:jc w:val="both"/>
        <w:rPr>
          <w:rFonts w:asciiTheme="minorHAnsi" w:hAnsiTheme="minorHAnsi"/>
          <w:sz w:val="22"/>
          <w:szCs w:val="22"/>
        </w:rPr>
      </w:pPr>
    </w:p>
    <w:p w:rsidR="00A02C65" w:rsidRDefault="00957D20" w:rsidP="00D913C3">
      <w:pPr>
        <w:pStyle w:val="Default"/>
        <w:spacing w:line="480" w:lineRule="auto"/>
        <w:ind w:firstLine="720"/>
        <w:jc w:val="both"/>
        <w:rPr>
          <w:rFonts w:asciiTheme="minorHAnsi" w:hAnsiTheme="minorHAnsi"/>
          <w:sz w:val="22"/>
          <w:szCs w:val="22"/>
        </w:rPr>
      </w:pPr>
      <w:r w:rsidRPr="00957D20">
        <w:rPr>
          <w:rFonts w:asciiTheme="minorHAnsi" w:hAnsiTheme="minorHAnsi"/>
          <w:i/>
          <w:sz w:val="22"/>
          <w:szCs w:val="22"/>
        </w:rPr>
        <w:t>Citizens United</w:t>
      </w:r>
      <w:r>
        <w:rPr>
          <w:rFonts w:asciiTheme="minorHAnsi" w:hAnsiTheme="minorHAnsi"/>
          <w:sz w:val="22"/>
          <w:szCs w:val="22"/>
        </w:rPr>
        <w:t xml:space="preserve"> extended </w:t>
      </w:r>
      <w:r w:rsidR="00565666">
        <w:rPr>
          <w:rFonts w:asciiTheme="minorHAnsi" w:hAnsiTheme="minorHAnsi"/>
          <w:sz w:val="22"/>
          <w:szCs w:val="22"/>
        </w:rPr>
        <w:t xml:space="preserve">the First Amendment </w:t>
      </w:r>
      <w:r w:rsidR="00F02CBD">
        <w:rPr>
          <w:rFonts w:asciiTheme="minorHAnsi" w:hAnsiTheme="minorHAnsi"/>
          <w:sz w:val="22"/>
          <w:szCs w:val="22"/>
        </w:rPr>
        <w:t>to corporations in order to p</w:t>
      </w:r>
      <w:r w:rsidR="00D913C3">
        <w:rPr>
          <w:rFonts w:asciiTheme="minorHAnsi" w:hAnsiTheme="minorHAnsi"/>
          <w:sz w:val="22"/>
          <w:szCs w:val="22"/>
        </w:rPr>
        <w:t xml:space="preserve">rotect their freedom of speech. </w:t>
      </w:r>
      <w:r w:rsidR="00F02CBD">
        <w:rPr>
          <w:rFonts w:asciiTheme="minorHAnsi" w:hAnsiTheme="minorHAnsi"/>
          <w:sz w:val="22"/>
          <w:szCs w:val="22"/>
        </w:rPr>
        <w:t>The Court believes that spending money to endorse a candidate is a form of s</w:t>
      </w:r>
      <w:r>
        <w:rPr>
          <w:rFonts w:asciiTheme="minorHAnsi" w:hAnsiTheme="minorHAnsi"/>
          <w:sz w:val="22"/>
          <w:szCs w:val="22"/>
        </w:rPr>
        <w:t xml:space="preserve">peech that cannot be limited; </w:t>
      </w:r>
      <w:r w:rsidR="00F02CBD">
        <w:rPr>
          <w:rFonts w:asciiTheme="minorHAnsi" w:hAnsiTheme="minorHAnsi"/>
          <w:sz w:val="22"/>
          <w:szCs w:val="22"/>
        </w:rPr>
        <w:t xml:space="preserve">ironically, however, </w:t>
      </w:r>
      <w:r w:rsidR="00D913C3">
        <w:rPr>
          <w:rFonts w:asciiTheme="minorHAnsi" w:hAnsiTheme="minorHAnsi"/>
          <w:sz w:val="22"/>
          <w:szCs w:val="22"/>
        </w:rPr>
        <w:t xml:space="preserve">the </w:t>
      </w:r>
      <w:r w:rsidR="00F02CBD">
        <w:rPr>
          <w:rFonts w:asciiTheme="minorHAnsi" w:hAnsiTheme="minorHAnsi"/>
          <w:sz w:val="22"/>
          <w:szCs w:val="22"/>
        </w:rPr>
        <w:t xml:space="preserve">same corporation that can now spend unlimited funds from its treasury to advocate for a candidate, cannot vote for the candidate. </w:t>
      </w:r>
    </w:p>
    <w:p w:rsidR="00232DB2" w:rsidRPr="00D913C3" w:rsidRDefault="00232DB2" w:rsidP="001877F3">
      <w:pPr>
        <w:pStyle w:val="Default"/>
        <w:spacing w:line="480" w:lineRule="auto"/>
        <w:ind w:firstLine="720"/>
        <w:jc w:val="both"/>
        <w:rPr>
          <w:rFonts w:asciiTheme="minorHAnsi" w:hAnsiTheme="minorHAnsi"/>
          <w:color w:val="auto"/>
          <w:sz w:val="22"/>
          <w:szCs w:val="22"/>
        </w:rPr>
      </w:pPr>
      <w:r w:rsidRPr="00A02C65">
        <w:rPr>
          <w:rFonts w:asciiTheme="minorHAnsi" w:hAnsiTheme="minorHAnsi"/>
          <w:sz w:val="22"/>
          <w:szCs w:val="22"/>
        </w:rPr>
        <w:t xml:space="preserve">The majority’s opinion </w:t>
      </w:r>
      <w:r w:rsidR="001652E7">
        <w:rPr>
          <w:rFonts w:asciiTheme="minorHAnsi" w:hAnsiTheme="minorHAnsi"/>
          <w:sz w:val="22"/>
          <w:szCs w:val="22"/>
        </w:rPr>
        <w:t>is</w:t>
      </w:r>
      <w:r w:rsidRPr="00A02C65">
        <w:rPr>
          <w:rFonts w:asciiTheme="minorHAnsi" w:hAnsiTheme="minorHAnsi"/>
          <w:sz w:val="22"/>
          <w:szCs w:val="22"/>
        </w:rPr>
        <w:t xml:space="preserve"> that limiting</w:t>
      </w:r>
      <w:r w:rsidR="00A02C65" w:rsidRPr="00A02C65">
        <w:rPr>
          <w:rFonts w:asciiTheme="minorHAnsi" w:hAnsiTheme="minorHAnsi"/>
          <w:sz w:val="22"/>
          <w:szCs w:val="22"/>
        </w:rPr>
        <w:t xml:space="preserve"> a corporation’s ability to use</w:t>
      </w:r>
      <w:r w:rsidRPr="00A02C65">
        <w:rPr>
          <w:rFonts w:asciiTheme="minorHAnsi" w:hAnsiTheme="minorHAnsi"/>
          <w:sz w:val="22"/>
          <w:szCs w:val="22"/>
        </w:rPr>
        <w:t xml:space="preserve"> corporate </w:t>
      </w:r>
      <w:r w:rsidR="00A02C65" w:rsidRPr="00A02C65">
        <w:rPr>
          <w:rFonts w:asciiTheme="minorHAnsi" w:hAnsiTheme="minorHAnsi"/>
          <w:sz w:val="22"/>
          <w:szCs w:val="22"/>
        </w:rPr>
        <w:t xml:space="preserve">money in advocating for or against a candidate is a violation of the First Amendment right to speech. </w:t>
      </w:r>
      <w:r w:rsidR="001652E7">
        <w:rPr>
          <w:rFonts w:asciiTheme="minorHAnsi" w:hAnsiTheme="minorHAnsi"/>
          <w:sz w:val="22"/>
          <w:szCs w:val="22"/>
        </w:rPr>
        <w:t xml:space="preserve">There are years of </w:t>
      </w:r>
      <w:r w:rsidR="00D913C3">
        <w:rPr>
          <w:rFonts w:asciiTheme="minorHAnsi" w:hAnsiTheme="minorHAnsi"/>
          <w:sz w:val="22"/>
          <w:szCs w:val="22"/>
        </w:rPr>
        <w:t>precedent</w:t>
      </w:r>
      <w:r w:rsidR="001652E7">
        <w:rPr>
          <w:rFonts w:asciiTheme="minorHAnsi" w:hAnsiTheme="minorHAnsi"/>
          <w:sz w:val="22"/>
          <w:szCs w:val="22"/>
        </w:rPr>
        <w:t>, however, demonstrating a compelling interest to regulate corporate spending for campaign expenditures in order to combat corruption.</w:t>
      </w:r>
      <w:r w:rsidR="007877A6">
        <w:rPr>
          <w:rFonts w:asciiTheme="minorHAnsi" w:hAnsiTheme="minorHAnsi"/>
          <w:sz w:val="22"/>
          <w:szCs w:val="22"/>
        </w:rPr>
        <w:t xml:space="preserve"> </w:t>
      </w:r>
      <w:r w:rsidR="007877A6">
        <w:rPr>
          <w:rFonts w:asciiTheme="minorHAnsi" w:hAnsiTheme="minorHAnsi" w:cs="Segoe Print"/>
          <w:sz w:val="22"/>
          <w:szCs w:val="22"/>
        </w:rPr>
        <w:t>As c</w:t>
      </w:r>
      <w:r w:rsidR="007877A6" w:rsidRPr="007877A6">
        <w:rPr>
          <w:rFonts w:asciiTheme="minorHAnsi" w:hAnsiTheme="minorHAnsi" w:cs="Segoe Print"/>
          <w:sz w:val="22"/>
          <w:szCs w:val="22"/>
        </w:rPr>
        <w:t>orporate wealth expanded over the course o</w:t>
      </w:r>
      <w:r w:rsidR="007877A6">
        <w:rPr>
          <w:rFonts w:asciiTheme="minorHAnsi" w:hAnsiTheme="minorHAnsi" w:cs="Segoe Print"/>
          <w:sz w:val="22"/>
          <w:szCs w:val="22"/>
        </w:rPr>
        <w:t xml:space="preserve">f the last 100 years, it came </w:t>
      </w:r>
      <w:r w:rsidR="007877A6" w:rsidRPr="007877A6">
        <w:rPr>
          <w:rFonts w:asciiTheme="minorHAnsi" w:hAnsiTheme="minorHAnsi" w:cs="Segoe Print"/>
          <w:sz w:val="22"/>
          <w:szCs w:val="22"/>
        </w:rPr>
        <w:t xml:space="preserve">with concerns as to how the wealth and power could be used to </w:t>
      </w:r>
      <w:r w:rsidR="007877A6">
        <w:rPr>
          <w:rFonts w:asciiTheme="minorHAnsi" w:hAnsiTheme="minorHAnsi" w:cs="Segoe Print"/>
          <w:sz w:val="22"/>
          <w:szCs w:val="22"/>
        </w:rPr>
        <w:t>shape</w:t>
      </w:r>
      <w:r w:rsidR="007877A6" w:rsidRPr="007877A6">
        <w:rPr>
          <w:rFonts w:asciiTheme="minorHAnsi" w:hAnsiTheme="minorHAnsi" w:cs="Segoe Print"/>
          <w:sz w:val="22"/>
          <w:szCs w:val="22"/>
        </w:rPr>
        <w:t xml:space="preserve"> the political arena. In response, legislation was passed regulating corporate</w:t>
      </w:r>
      <w:r w:rsidR="007877A6">
        <w:rPr>
          <w:rFonts w:asciiTheme="minorHAnsi" w:hAnsiTheme="minorHAnsi" w:cs="Segoe Print"/>
          <w:sz w:val="22"/>
          <w:szCs w:val="22"/>
        </w:rPr>
        <w:t xml:space="preserve"> spending in advocating for or against candidates. Prior </w:t>
      </w:r>
      <w:r w:rsidR="007877A6" w:rsidRPr="00D913C3">
        <w:rPr>
          <w:rFonts w:asciiTheme="minorHAnsi" w:hAnsiTheme="minorHAnsi" w:cs="Segoe Print"/>
          <w:color w:val="auto"/>
          <w:sz w:val="22"/>
          <w:szCs w:val="22"/>
        </w:rPr>
        <w:t xml:space="preserve">to </w:t>
      </w:r>
      <w:r w:rsidR="007877A6" w:rsidRPr="00D913C3">
        <w:rPr>
          <w:rFonts w:asciiTheme="minorHAnsi" w:hAnsiTheme="minorHAnsi" w:cs="Segoe Print"/>
          <w:i/>
          <w:color w:val="auto"/>
          <w:sz w:val="22"/>
          <w:szCs w:val="22"/>
        </w:rPr>
        <w:t>Citizens United</w:t>
      </w:r>
      <w:r w:rsidR="007877A6" w:rsidRPr="00D913C3">
        <w:rPr>
          <w:rFonts w:asciiTheme="minorHAnsi" w:hAnsiTheme="minorHAnsi" w:cs="Segoe Print"/>
          <w:color w:val="auto"/>
          <w:sz w:val="22"/>
          <w:szCs w:val="22"/>
        </w:rPr>
        <w:t>, the Supreme Court granted deference to the legislature in First Amendment challenges regarding regulation of corporate campaign financing.</w:t>
      </w:r>
      <w:r w:rsidR="00D913C3">
        <w:rPr>
          <w:rFonts w:asciiTheme="minorHAnsi" w:hAnsiTheme="minorHAnsi" w:cs="Segoe Print"/>
          <w:color w:val="auto"/>
          <w:sz w:val="22"/>
          <w:szCs w:val="22"/>
        </w:rPr>
        <w:t xml:space="preserve"> As observed by one legal scholar: </w:t>
      </w:r>
    </w:p>
    <w:p w:rsidR="00A02C65" w:rsidRDefault="00A02C65" w:rsidP="00D913C3">
      <w:pPr>
        <w:spacing w:after="0"/>
        <w:ind w:left="1440" w:right="1440"/>
        <w:jc w:val="both"/>
        <w:rPr>
          <w:rFonts w:cs="Arial"/>
          <w:color w:val="252525"/>
        </w:rPr>
      </w:pPr>
      <w:r w:rsidRPr="00D913C3">
        <w:rPr>
          <w:rFonts w:cs="Arial"/>
        </w:rPr>
        <w:t xml:space="preserve">Congress, however, has a long-standing history of treating corporations differently for the purposes of regulating campaign expenditures--money spent by individuals to advocate for the election or defeat of a candidate--and has traditionally justified separate treatment as necessary to </w:t>
      </w:r>
      <w:r w:rsidRPr="00A02C65">
        <w:rPr>
          <w:rFonts w:cs="Arial"/>
          <w:color w:val="252525"/>
        </w:rPr>
        <w:t>prevent corruption of the democratic political process. Through decades of state and federal corporate campaign expenditure regulation, the Supreme Court has afforded great deference to</w:t>
      </w:r>
      <w:r w:rsidRPr="00A02C65">
        <w:rPr>
          <w:rStyle w:val="apple-converted-space"/>
          <w:rFonts w:cs="Arial"/>
          <w:color w:val="252525"/>
        </w:rPr>
        <w:t> </w:t>
      </w:r>
      <w:r w:rsidRPr="00A02C65">
        <w:rPr>
          <w:rFonts w:cs="Arial"/>
          <w:color w:val="252525"/>
        </w:rPr>
        <w:t>legislatures and has acquiesced to these regulations. Although the Court previously ruled that the government cannot place caps on campaign expenditures on the basis of a speaker's wealth</w:t>
      </w:r>
      <w:r w:rsidRPr="00A02C65">
        <w:rPr>
          <w:rStyle w:val="apple-converted-space"/>
          <w:rFonts w:cs="Arial"/>
          <w:color w:val="252525"/>
        </w:rPr>
        <w:t> </w:t>
      </w:r>
      <w:r w:rsidRPr="00A02C65">
        <w:rPr>
          <w:rFonts w:cs="Arial"/>
          <w:color w:val="252525"/>
        </w:rPr>
        <w:t xml:space="preserve">or limit </w:t>
      </w:r>
      <w:r w:rsidRPr="00A02C65">
        <w:rPr>
          <w:rFonts w:cs="Arial"/>
          <w:color w:val="252525"/>
        </w:rPr>
        <w:lastRenderedPageBreak/>
        <w:t>corporate speech on referenda to only those issues that affect corporate interests, the</w:t>
      </w:r>
      <w:r w:rsidR="001652E7">
        <w:rPr>
          <w:rFonts w:cs="Arial"/>
          <w:color w:val="252525"/>
        </w:rPr>
        <w:t xml:space="preserve"> Court did not str</w:t>
      </w:r>
      <w:r w:rsidRPr="00A02C65">
        <w:rPr>
          <w:rFonts w:cs="Arial"/>
          <w:color w:val="252525"/>
        </w:rPr>
        <w:t>ike down corporate campaign expenditure regulations specifically.</w:t>
      </w:r>
      <w:r>
        <w:rPr>
          <w:rStyle w:val="FootnoteReference"/>
          <w:rFonts w:cs="Arial"/>
          <w:color w:val="252525"/>
        </w:rPr>
        <w:footnoteReference w:id="15"/>
      </w:r>
    </w:p>
    <w:p w:rsidR="001652E7" w:rsidRDefault="001652E7" w:rsidP="00D913C3">
      <w:pPr>
        <w:spacing w:after="0"/>
        <w:ind w:right="1440"/>
        <w:jc w:val="both"/>
        <w:rPr>
          <w:rFonts w:cs="Arial"/>
          <w:color w:val="252525"/>
        </w:rPr>
      </w:pPr>
    </w:p>
    <w:p w:rsidR="001652E7" w:rsidRDefault="001652E7" w:rsidP="001A3178">
      <w:pPr>
        <w:spacing w:after="0" w:line="480" w:lineRule="auto"/>
        <w:ind w:firstLine="720"/>
        <w:jc w:val="both"/>
      </w:pPr>
      <w:r w:rsidRPr="001652E7">
        <w:t xml:space="preserve">The Court’s decision in </w:t>
      </w:r>
      <w:r w:rsidRPr="001652E7">
        <w:rPr>
          <w:i/>
        </w:rPr>
        <w:t>Citizens United</w:t>
      </w:r>
      <w:r w:rsidRPr="001652E7">
        <w:t xml:space="preserve"> </w:t>
      </w:r>
      <w:r w:rsidR="00D913C3">
        <w:t xml:space="preserve">not only </w:t>
      </w:r>
      <w:r w:rsidR="004D4803" w:rsidRPr="001652E7">
        <w:t>flouts</w:t>
      </w:r>
      <w:r w:rsidRPr="001652E7">
        <w:t xml:space="preserve"> </w:t>
      </w:r>
      <w:r w:rsidR="004D4803" w:rsidRPr="004D4803">
        <w:rPr>
          <w:i/>
        </w:rPr>
        <w:t>stare decisis</w:t>
      </w:r>
      <w:r w:rsidR="001A3178">
        <w:rPr>
          <w:i/>
        </w:rPr>
        <w:t>,</w:t>
      </w:r>
      <w:r w:rsidR="00D913C3">
        <w:rPr>
          <w:rStyle w:val="FootnoteReference"/>
          <w:i/>
        </w:rPr>
        <w:footnoteReference w:id="16"/>
      </w:r>
      <w:r w:rsidRPr="001652E7">
        <w:t xml:space="preserve"> </w:t>
      </w:r>
      <w:r w:rsidR="001A3178">
        <w:t xml:space="preserve">but it erodes legislative </w:t>
      </w:r>
      <w:r w:rsidR="001A3178" w:rsidRPr="001652E7">
        <w:t>efforts</w:t>
      </w:r>
      <w:r w:rsidRPr="001652E7">
        <w:t xml:space="preserve"> to preserve the American democratic process</w:t>
      </w:r>
      <w:r>
        <w:t>. The Court, in its fortitude to protect corporate right to speech, threatens the election process and, as a result, the legislative process</w:t>
      </w:r>
      <w:r w:rsidR="00652AA7">
        <w:t xml:space="preserve"> by exposing it to corruption and exploitation. On a playing field where corporations an</w:t>
      </w:r>
      <w:r w:rsidR="001A3178">
        <w:t xml:space="preserve">d the wealthy already dominate </w:t>
      </w:r>
      <w:r w:rsidR="00652AA7">
        <w:t xml:space="preserve">the game, the Court has now handed over full control. In advancing </w:t>
      </w:r>
      <w:r w:rsidR="001A3178">
        <w:t xml:space="preserve">its own interests and ideals, the Court </w:t>
      </w:r>
      <w:r w:rsidR="00652AA7">
        <w:t>neglect</w:t>
      </w:r>
      <w:r w:rsidR="001A3178">
        <w:t>s</w:t>
      </w:r>
      <w:r w:rsidR="00652AA7">
        <w:t xml:space="preserve"> to recognize reality and the corollaries of </w:t>
      </w:r>
      <w:r w:rsidR="001A3178">
        <w:t>its</w:t>
      </w:r>
      <w:r w:rsidR="00652AA7">
        <w:t xml:space="preserve"> decision. </w:t>
      </w:r>
    </w:p>
    <w:p w:rsidR="001A3178" w:rsidRDefault="00EB5ED7" w:rsidP="001A3178">
      <w:pPr>
        <w:spacing w:after="0" w:line="480" w:lineRule="auto"/>
        <w:jc w:val="both"/>
      </w:pPr>
      <w:r>
        <w:tab/>
        <w:t>In understanding why the government has a compelling interest to regulate corporate campaign financing</w:t>
      </w:r>
      <w:r w:rsidR="001A3178">
        <w:t>,</w:t>
      </w:r>
      <w:r>
        <w:t xml:space="preserve"> it is also necessary </w:t>
      </w:r>
      <w:r w:rsidR="00D70E3D">
        <w:t xml:space="preserve">to examine </w:t>
      </w:r>
      <w:r w:rsidR="001A3178">
        <w:t xml:space="preserve">the notion </w:t>
      </w:r>
      <w:r w:rsidR="00D70E3D">
        <w:t>that corporate speech was</w:t>
      </w:r>
      <w:r>
        <w:t xml:space="preserve"> never fully restricted. While corporate speech was regulated, it was </w:t>
      </w:r>
      <w:r w:rsidR="001A3178">
        <w:t>never</w:t>
      </w:r>
      <w:r>
        <w:t xml:space="preserve"> </w:t>
      </w:r>
      <w:r w:rsidR="00D70E3D">
        <w:t>banned</w:t>
      </w:r>
      <w:r>
        <w:t>.</w:t>
      </w:r>
      <w:r w:rsidR="00085987">
        <w:t xml:space="preserve"> </w:t>
      </w:r>
      <w:r w:rsidR="001A3178">
        <w:t xml:space="preserve">Under the BCRA, Citizens could have used its assets to televise and promote </w:t>
      </w:r>
      <w:r w:rsidR="001A3178" w:rsidRPr="001A3178">
        <w:rPr>
          <w:i/>
        </w:rPr>
        <w:t>Hil</w:t>
      </w:r>
      <w:r w:rsidR="001A3178">
        <w:rPr>
          <w:i/>
        </w:rPr>
        <w:t>l</w:t>
      </w:r>
      <w:r w:rsidR="001A3178" w:rsidRPr="001A3178">
        <w:rPr>
          <w:i/>
        </w:rPr>
        <w:t>ary</w:t>
      </w:r>
      <w:r w:rsidR="001A3178">
        <w:t xml:space="preserve"> wherever and whenever it wanted to. It could have spent unlimited sums to broadcast </w:t>
      </w:r>
      <w:r w:rsidR="001A3178" w:rsidRPr="005231FD">
        <w:rPr>
          <w:i/>
        </w:rPr>
        <w:t>Hillary</w:t>
      </w:r>
      <w:r w:rsidR="001A3178">
        <w:t xml:space="preserve"> at any time except for 30 days prior before the last primary election. As Justice Stevens </w:t>
      </w:r>
      <w:r w:rsidR="005231FD">
        <w:t>noted, neither Citizens’</w:t>
      </w:r>
      <w:r w:rsidR="001A3178">
        <w:t xml:space="preserve"> “</w:t>
      </w:r>
      <w:r w:rsidR="00085987">
        <w:t>nor any other corpora</w:t>
      </w:r>
      <w:r w:rsidR="001A3178">
        <w:t>tion’s speech has been ‘banned.’”</w:t>
      </w:r>
      <w:r w:rsidR="00085987">
        <w:rPr>
          <w:rStyle w:val="FootnoteReference"/>
        </w:rPr>
        <w:footnoteReference w:id="17"/>
      </w:r>
      <w:r w:rsidR="001A3178">
        <w:t xml:space="preserve"> All that was disputed was whether Citizens had a right to use funds in its treasury to pay for broadcast during that 30 day period.  </w:t>
      </w:r>
    </w:p>
    <w:p w:rsidR="0075645A" w:rsidRPr="001A3178" w:rsidRDefault="001A3178" w:rsidP="001A3178">
      <w:pPr>
        <w:spacing w:after="0" w:line="480" w:lineRule="auto"/>
        <w:ind w:firstLine="720"/>
        <w:jc w:val="both"/>
      </w:pPr>
      <w:r>
        <w:t>Moreover</w:t>
      </w:r>
      <w:r w:rsidR="00085987">
        <w:t>, t</w:t>
      </w:r>
      <w:r w:rsidR="00EB5ED7">
        <w:t xml:space="preserve">he majority </w:t>
      </w:r>
      <w:r>
        <w:t>opinion claimed</w:t>
      </w:r>
      <w:r w:rsidR="00EB5ED7">
        <w:t xml:space="preserve"> any burden on</w:t>
      </w:r>
      <w:r>
        <w:t xml:space="preserve"> free speech was </w:t>
      </w:r>
      <w:r w:rsidR="00EB5ED7">
        <w:t xml:space="preserve">unconstitutional </w:t>
      </w:r>
      <w:r w:rsidR="0075645A">
        <w:t xml:space="preserve">and </w:t>
      </w:r>
      <w:r w:rsidR="00A06F66">
        <w:t>could not be</w:t>
      </w:r>
      <w:r w:rsidR="0075645A">
        <w:t xml:space="preserve"> regulated based on the speaker’</w:t>
      </w:r>
      <w:r w:rsidR="00A06F66">
        <w:t xml:space="preserve">s identity; but, </w:t>
      </w:r>
      <w:r w:rsidR="00EB5ED7">
        <w:t xml:space="preserve">our society has already demonstrated the need </w:t>
      </w:r>
      <w:r w:rsidR="00D70E3D">
        <w:t xml:space="preserve">to </w:t>
      </w:r>
      <w:r w:rsidR="00EB5ED7">
        <w:t xml:space="preserve">regulate certain types of speech in </w:t>
      </w:r>
      <w:r w:rsidR="0075645A">
        <w:t xml:space="preserve">order to serve a legitimate government interest. </w:t>
      </w:r>
      <w:r w:rsidR="00A06F66">
        <w:t>Justice Stevens explains:</w:t>
      </w:r>
    </w:p>
    <w:p w:rsidR="00EB5ED7" w:rsidRDefault="0075645A" w:rsidP="001877F3">
      <w:pPr>
        <w:spacing w:after="0" w:line="240" w:lineRule="auto"/>
        <w:ind w:left="1440" w:right="1440"/>
        <w:jc w:val="both"/>
        <w:rPr>
          <w:rFonts w:cs="Century Schoolbook"/>
          <w:color w:val="000000"/>
        </w:rPr>
      </w:pPr>
      <w:r>
        <w:rPr>
          <w:rFonts w:cs="Century Schoolbook"/>
          <w:color w:val="000000"/>
        </w:rPr>
        <w:t xml:space="preserve">Yet in a variety of contexts, we have held that speech can be regulated differentially on account of the speaker’s identity, when identity is </w:t>
      </w:r>
      <w:r>
        <w:rPr>
          <w:rFonts w:cs="Century Schoolbook"/>
          <w:color w:val="000000"/>
        </w:rPr>
        <w:lastRenderedPageBreak/>
        <w:t>understood in categorical or institutional terms. The Government routinely places special restrictions on the speech rights of students,</w:t>
      </w:r>
      <w:r>
        <w:rPr>
          <w:rFonts w:cs="Century Schoolbook"/>
          <w:color w:val="000000"/>
          <w:position w:val="6"/>
          <w:vertAlign w:val="superscript"/>
        </w:rPr>
        <w:t xml:space="preserve"> </w:t>
      </w:r>
      <w:r>
        <w:rPr>
          <w:rFonts w:cs="Century Schoolbook"/>
          <w:color w:val="000000"/>
        </w:rPr>
        <w:t>prisoners,</w:t>
      </w:r>
      <w:r>
        <w:rPr>
          <w:rFonts w:cs="Century Schoolbook"/>
          <w:color w:val="000000"/>
          <w:position w:val="6"/>
          <w:vertAlign w:val="superscript"/>
        </w:rPr>
        <w:t xml:space="preserve"> </w:t>
      </w:r>
      <w:r>
        <w:rPr>
          <w:rFonts w:cs="Century Schoolbook"/>
          <w:color w:val="000000"/>
        </w:rPr>
        <w:t>members of the Armed Forces,</w:t>
      </w:r>
      <w:r>
        <w:rPr>
          <w:rFonts w:cs="Century Schoolbook"/>
          <w:color w:val="000000"/>
          <w:position w:val="6"/>
          <w:vertAlign w:val="superscript"/>
        </w:rPr>
        <w:t xml:space="preserve"> </w:t>
      </w:r>
      <w:r>
        <w:rPr>
          <w:rFonts w:cs="Century Schoolbook"/>
          <w:color w:val="000000"/>
        </w:rPr>
        <w:t>foreigners,</w:t>
      </w:r>
      <w:r>
        <w:rPr>
          <w:rFonts w:cs="Century Schoolbook"/>
          <w:color w:val="000000"/>
          <w:position w:val="6"/>
          <w:vertAlign w:val="superscript"/>
        </w:rPr>
        <w:t xml:space="preserve"> </w:t>
      </w:r>
      <w:r>
        <w:rPr>
          <w:rFonts w:cs="Century Schoolbook"/>
          <w:color w:val="000000"/>
        </w:rPr>
        <w:t>and its own employees.</w:t>
      </w:r>
      <w:r>
        <w:rPr>
          <w:rFonts w:cs="Century Schoolbook"/>
          <w:color w:val="000000"/>
          <w:position w:val="6"/>
          <w:vertAlign w:val="superscript"/>
        </w:rPr>
        <w:t xml:space="preserve"> </w:t>
      </w:r>
      <w:r>
        <w:rPr>
          <w:rFonts w:cs="Century Schoolbook"/>
          <w:color w:val="000000"/>
        </w:rPr>
        <w:t>When such restrictions are justified by a legitimate governmental interest, they do not necessarily raise constitutional problems.</w:t>
      </w:r>
      <w:r>
        <w:rPr>
          <w:rStyle w:val="FootnoteReference"/>
          <w:rFonts w:cs="Century Schoolbook"/>
          <w:color w:val="000000"/>
        </w:rPr>
        <w:footnoteReference w:id="18"/>
      </w:r>
    </w:p>
    <w:p w:rsidR="00085987" w:rsidRPr="001652E7" w:rsidRDefault="00085987" w:rsidP="001877F3">
      <w:pPr>
        <w:spacing w:after="0" w:line="240" w:lineRule="auto"/>
        <w:ind w:left="1440" w:right="1440"/>
        <w:jc w:val="both"/>
      </w:pPr>
    </w:p>
    <w:p w:rsidR="0070615C" w:rsidRDefault="0070560E" w:rsidP="0070615C">
      <w:pPr>
        <w:spacing w:after="0" w:line="480" w:lineRule="auto"/>
        <w:ind w:firstLine="720"/>
        <w:jc w:val="both"/>
      </w:pPr>
      <w:r w:rsidRPr="00565666">
        <w:t xml:space="preserve">The Court </w:t>
      </w:r>
      <w:r w:rsidR="006E60B6" w:rsidRPr="00565666">
        <w:t>broadens</w:t>
      </w:r>
      <w:r w:rsidRPr="00565666">
        <w:t xml:space="preserve"> protections to corporations </w:t>
      </w:r>
      <w:r w:rsidR="0088087E" w:rsidRPr="00565666">
        <w:t>who can use wealth and influence to</w:t>
      </w:r>
      <w:r w:rsidR="006E60B6" w:rsidRPr="00565666">
        <w:t xml:space="preserve"> mold the election process, </w:t>
      </w:r>
      <w:r w:rsidR="00A06F66">
        <w:t>despite the reality that the</w:t>
      </w:r>
      <w:r w:rsidR="0088087E" w:rsidRPr="00565666">
        <w:t xml:space="preserve"> </w:t>
      </w:r>
      <w:r w:rsidR="006E60B6" w:rsidRPr="00565666">
        <w:t>corporation</w:t>
      </w:r>
      <w:r w:rsidR="0088087E" w:rsidRPr="00565666">
        <w:t xml:space="preserve"> itself</w:t>
      </w:r>
      <w:r w:rsidR="006E60B6" w:rsidRPr="00565666">
        <w:t xml:space="preserve"> cannot vote. The wealth and power that a corporation has cannot be </w:t>
      </w:r>
      <w:r w:rsidR="00F23489">
        <w:t>paralleled</w:t>
      </w:r>
      <w:r w:rsidR="006E60B6" w:rsidRPr="00565666">
        <w:t xml:space="preserve"> by individ</w:t>
      </w:r>
      <w:r w:rsidR="00A06F66">
        <w:t>ual people.</w:t>
      </w:r>
      <w:r w:rsidR="00660434">
        <w:t xml:space="preserve"> “</w:t>
      </w:r>
      <w:r w:rsidR="00660434">
        <w:rPr>
          <w:rFonts w:cs="Century Schoolbook"/>
          <w:color w:val="000000"/>
        </w:rPr>
        <w:t>The legal structure of corporations allows them to amass and deploy financial</w:t>
      </w:r>
      <w:r w:rsidR="00F23489">
        <w:rPr>
          <w:rFonts w:cs="Century Schoolbook"/>
          <w:color w:val="000000"/>
        </w:rPr>
        <w:t xml:space="preserve"> </w:t>
      </w:r>
      <w:r w:rsidR="00660434">
        <w:rPr>
          <w:rFonts w:cs="Century Schoolbook"/>
          <w:color w:val="000000"/>
        </w:rPr>
        <w:t>resources on a scale few natural persons can match.</w:t>
      </w:r>
      <w:r w:rsidR="00F23489">
        <w:t>”</w:t>
      </w:r>
      <w:r w:rsidR="00F23489">
        <w:rPr>
          <w:rStyle w:val="FootnoteReference"/>
        </w:rPr>
        <w:footnoteReference w:id="19"/>
      </w:r>
      <w:r w:rsidR="00F23489">
        <w:t xml:space="preserve"> </w:t>
      </w:r>
      <w:r w:rsidR="00957D20" w:rsidRPr="00957D20">
        <w:rPr>
          <w:i/>
        </w:rPr>
        <w:t>Citizens United</w:t>
      </w:r>
      <w:r w:rsidR="006E60B6" w:rsidRPr="00565666">
        <w:t xml:space="preserve">, while </w:t>
      </w:r>
      <w:r w:rsidR="00F02CBD">
        <w:t>expanding</w:t>
      </w:r>
      <w:r w:rsidR="006E60B6" w:rsidRPr="00565666">
        <w:t xml:space="preserve"> the power of an already supreme entity, simultaneously mutes the speech and rights of the people.</w:t>
      </w:r>
      <w:r w:rsidR="00F02CBD">
        <w:t xml:space="preserve"> The rights of the people the Constitution is </w:t>
      </w:r>
      <w:r w:rsidR="00F23489">
        <w:t>intended</w:t>
      </w:r>
      <w:r w:rsidR="00F02CBD">
        <w:t xml:space="preserve"> to protect </w:t>
      </w:r>
      <w:r w:rsidR="00A06F66">
        <w:t>are now</w:t>
      </w:r>
      <w:r w:rsidR="00F02CBD">
        <w:t xml:space="preserve"> threatened by corporations whose rights </w:t>
      </w:r>
      <w:r w:rsidR="00A06F66">
        <w:t>are now</w:t>
      </w:r>
      <w:r w:rsidR="00F02CBD">
        <w:t xml:space="preserve"> equal to </w:t>
      </w:r>
      <w:r w:rsidR="00A06F66">
        <w:t>individual people. Individual people who can vote. Individual p</w:t>
      </w:r>
      <w:r w:rsidR="00A06F66" w:rsidRPr="00565666">
        <w:t xml:space="preserve">eople </w:t>
      </w:r>
      <w:r w:rsidR="00A06F66">
        <w:t>who can</w:t>
      </w:r>
      <w:r w:rsidR="00A06F66" w:rsidRPr="00565666">
        <w:t xml:space="preserve"> run for office</w:t>
      </w:r>
      <w:r w:rsidR="00A06F66">
        <w:t xml:space="preserve">. Individual people who are supposed to </w:t>
      </w:r>
      <w:r w:rsidR="00CA6B25">
        <w:t>have in</w:t>
      </w:r>
      <w:r w:rsidR="00A06F66" w:rsidRPr="00565666">
        <w:t>alienable rights.</w:t>
      </w:r>
      <w:r w:rsidR="00A06F66">
        <w:t xml:space="preserve"> </w:t>
      </w:r>
      <w:r w:rsidR="006E60B6" w:rsidRPr="00565666">
        <w:t xml:space="preserve"> </w:t>
      </w:r>
      <w:r w:rsidR="001F6D55">
        <w:t>Corporations are given a larger platform to advance their interests while people are barely</w:t>
      </w:r>
      <w:r w:rsidR="00A06F66">
        <w:t xml:space="preserve"> even</w:t>
      </w:r>
      <w:r w:rsidR="001F6D55">
        <w:t xml:space="preserve"> heard.</w:t>
      </w:r>
      <w:r w:rsidR="0070615C">
        <w:t xml:space="preserve"> </w:t>
      </w:r>
    </w:p>
    <w:p w:rsidR="0070615C" w:rsidRDefault="00565666" w:rsidP="0070615C">
      <w:pPr>
        <w:spacing w:after="0" w:line="480" w:lineRule="auto"/>
        <w:ind w:firstLine="720"/>
        <w:jc w:val="both"/>
      </w:pPr>
      <w:r w:rsidRPr="00565666">
        <w:t xml:space="preserve">In recent years, </w:t>
      </w:r>
      <w:r w:rsidR="0070615C">
        <w:t>data has suggested that the views of the donor class have an outsized impact on policy decisions</w:t>
      </w:r>
      <w:r w:rsidRPr="00565666">
        <w:t>.</w:t>
      </w:r>
      <w:r w:rsidR="0070615C">
        <w:rPr>
          <w:rStyle w:val="FootnoteReference"/>
        </w:rPr>
        <w:footnoteReference w:id="20"/>
      </w:r>
      <w:r w:rsidRPr="00565666">
        <w:t xml:space="preserve"> </w:t>
      </w:r>
      <w:r w:rsidR="0070615C">
        <w:t>“</w:t>
      </w:r>
      <w:r w:rsidRPr="00565666">
        <w:t xml:space="preserve">By giving a tiny group of mega-donors an even greater voice relative to everyone else, the Court’s jurisprudence exacerbated an already troubling situation. No other consequence of </w:t>
      </w:r>
      <w:r w:rsidRPr="0070615C">
        <w:rPr>
          <w:i/>
        </w:rPr>
        <w:t>Citizens United</w:t>
      </w:r>
      <w:r w:rsidRPr="00565666">
        <w:t xml:space="preserve"> has been more significant</w:t>
      </w:r>
      <w:r w:rsidR="00DE3470">
        <w:t>.</w:t>
      </w:r>
      <w:r w:rsidR="0070615C">
        <w:t>”</w:t>
      </w:r>
      <w:r w:rsidR="0070615C">
        <w:rPr>
          <w:rStyle w:val="FootnoteReference"/>
        </w:rPr>
        <w:footnoteReference w:id="21"/>
      </w:r>
    </w:p>
    <w:p w:rsidR="00B73F7E" w:rsidRDefault="007877A6" w:rsidP="0070615C">
      <w:pPr>
        <w:spacing w:after="0" w:line="480" w:lineRule="auto"/>
        <w:ind w:firstLine="720"/>
        <w:jc w:val="both"/>
      </w:pPr>
      <w:r>
        <w:t>Evidence</w:t>
      </w:r>
      <w:r w:rsidR="00DE3470">
        <w:t xml:space="preserve"> is supportive of the notion that corporations and money can control the political process. </w:t>
      </w:r>
      <w:r w:rsidR="000F48DC" w:rsidRPr="00655F59">
        <w:rPr>
          <w:rFonts w:ascii="Calibri" w:eastAsia="Times New Roman" w:hAnsi="Calibri" w:cs="Segoe UI"/>
          <w:color w:val="212121"/>
        </w:rPr>
        <w:t>When a non-voting donor pays get a candidate elected, the candidate becomes indebted to the sponsor, not the voter who made no donation except his vote.</w:t>
      </w:r>
      <w:r w:rsidR="000F48DC">
        <w:rPr>
          <w:rFonts w:ascii="Calibri" w:eastAsia="Times New Roman" w:hAnsi="Calibri" w:cs="Segoe UI"/>
          <w:color w:val="212121"/>
        </w:rPr>
        <w:t xml:space="preserve"> </w:t>
      </w:r>
      <w:r w:rsidR="0070615C">
        <w:t xml:space="preserve">This </w:t>
      </w:r>
      <w:r w:rsidR="00DE3470">
        <w:t xml:space="preserve">disrupts and imperils the ideals of American democracy and further dwarfs the interests of the people who go unrepresented in a society </w:t>
      </w:r>
      <w:r w:rsidR="004D4803">
        <w:lastRenderedPageBreak/>
        <w:t>dominated</w:t>
      </w:r>
      <w:r w:rsidR="00DE3470">
        <w:t xml:space="preserve"> by corporate giants. </w:t>
      </w:r>
      <w:r>
        <w:t>The peril to American democracy is proliferated by the empowerment of corporations and</w:t>
      </w:r>
      <w:r w:rsidR="000B13E8">
        <w:t xml:space="preserve"> by</w:t>
      </w:r>
      <w:r>
        <w:t xml:space="preserve"> protecting their rights above the people. </w:t>
      </w:r>
    </w:p>
    <w:p w:rsidR="001F6D55" w:rsidRPr="00B73F7E" w:rsidRDefault="001F6D55" w:rsidP="001877F3">
      <w:pPr>
        <w:pStyle w:val="Default"/>
        <w:spacing w:line="480" w:lineRule="auto"/>
        <w:ind w:firstLine="720"/>
        <w:jc w:val="both"/>
        <w:rPr>
          <w:rFonts w:asciiTheme="minorHAnsi" w:hAnsiTheme="minorHAnsi"/>
          <w:sz w:val="22"/>
          <w:szCs w:val="22"/>
        </w:rPr>
      </w:pPr>
      <w:r w:rsidRPr="00565666">
        <w:rPr>
          <w:rFonts w:asciiTheme="minorHAnsi" w:hAnsiTheme="minorHAnsi"/>
          <w:sz w:val="22"/>
          <w:szCs w:val="22"/>
        </w:rPr>
        <w:t>Corporations, with their vast wealth</w:t>
      </w:r>
      <w:r>
        <w:rPr>
          <w:rFonts w:asciiTheme="minorHAnsi" w:hAnsiTheme="minorHAnsi"/>
          <w:sz w:val="22"/>
          <w:szCs w:val="22"/>
        </w:rPr>
        <w:t>, can</w:t>
      </w:r>
      <w:r w:rsidRPr="00565666">
        <w:rPr>
          <w:rFonts w:asciiTheme="minorHAnsi" w:hAnsiTheme="minorHAnsi"/>
          <w:sz w:val="22"/>
          <w:szCs w:val="22"/>
        </w:rPr>
        <w:t xml:space="preserve"> control elections. A corporation can endorse a candidate, and attempt to successfully </w:t>
      </w:r>
      <w:r>
        <w:rPr>
          <w:rFonts w:asciiTheme="minorHAnsi" w:hAnsiTheme="minorHAnsi"/>
          <w:sz w:val="22"/>
          <w:szCs w:val="22"/>
        </w:rPr>
        <w:t>get them elected. Corporations</w:t>
      </w:r>
      <w:r w:rsidRPr="00565666">
        <w:rPr>
          <w:rFonts w:asciiTheme="minorHAnsi" w:hAnsiTheme="minorHAnsi"/>
          <w:sz w:val="22"/>
          <w:szCs w:val="22"/>
        </w:rPr>
        <w:t xml:space="preserve"> can also use boundless power to threaten a candidate should their interests be vulnerable. If a candidate refuses to comply, the corporation can</w:t>
      </w:r>
      <w:r>
        <w:rPr>
          <w:rFonts w:asciiTheme="minorHAnsi" w:hAnsiTheme="minorHAnsi"/>
          <w:sz w:val="22"/>
          <w:szCs w:val="22"/>
        </w:rPr>
        <w:t xml:space="preserve"> in turn</w:t>
      </w:r>
      <w:r w:rsidR="00660434">
        <w:rPr>
          <w:rFonts w:asciiTheme="minorHAnsi" w:hAnsiTheme="minorHAnsi"/>
          <w:sz w:val="22"/>
          <w:szCs w:val="22"/>
        </w:rPr>
        <w:t xml:space="preserve"> threaten to</w:t>
      </w:r>
      <w:r w:rsidRPr="00565666">
        <w:rPr>
          <w:rFonts w:asciiTheme="minorHAnsi" w:hAnsiTheme="minorHAnsi"/>
          <w:sz w:val="22"/>
          <w:szCs w:val="22"/>
        </w:rPr>
        <w:t xml:space="preserve"> fund attack ads.</w:t>
      </w:r>
      <w:r>
        <w:rPr>
          <w:rFonts w:asciiTheme="minorHAnsi" w:hAnsiTheme="minorHAnsi"/>
          <w:sz w:val="22"/>
          <w:szCs w:val="22"/>
        </w:rPr>
        <w:t xml:space="preserve"> </w:t>
      </w:r>
      <w:r w:rsidR="00EB5ED7">
        <w:rPr>
          <w:rFonts w:asciiTheme="minorHAnsi" w:hAnsiTheme="minorHAnsi"/>
          <w:sz w:val="22"/>
          <w:szCs w:val="22"/>
        </w:rPr>
        <w:t xml:space="preserve">If </w:t>
      </w:r>
      <w:r w:rsidR="00EB5ED7" w:rsidRPr="00EB5ED7">
        <w:rPr>
          <w:rFonts w:asciiTheme="minorHAnsi" w:hAnsiTheme="minorHAnsi"/>
          <w:sz w:val="22"/>
          <w:szCs w:val="22"/>
        </w:rPr>
        <w:t xml:space="preserve">corporations are able to </w:t>
      </w:r>
      <w:r w:rsidR="00EB5ED7">
        <w:rPr>
          <w:rFonts w:asciiTheme="minorHAnsi" w:hAnsiTheme="minorHAnsi"/>
          <w:sz w:val="22"/>
          <w:szCs w:val="22"/>
        </w:rPr>
        <w:t xml:space="preserve">assert </w:t>
      </w:r>
      <w:r w:rsidR="00EB5ED7" w:rsidRPr="00EB5ED7">
        <w:rPr>
          <w:rFonts w:asciiTheme="minorHAnsi" w:hAnsiTheme="minorHAnsi"/>
          <w:sz w:val="22"/>
          <w:szCs w:val="22"/>
        </w:rPr>
        <w:t>“undue influence in electoral races, the speech of the eventual winners of those races may also be chilled. Politicians who fear that a certain corporation can make or break their reelection chances may be cowed into silence about that corporation.”</w:t>
      </w:r>
      <w:r w:rsidR="00EB5ED7">
        <w:rPr>
          <w:rStyle w:val="FootnoteReference"/>
          <w:rFonts w:asciiTheme="minorHAnsi" w:hAnsiTheme="minorHAnsi"/>
          <w:sz w:val="22"/>
          <w:szCs w:val="22"/>
        </w:rPr>
        <w:footnoteReference w:id="22"/>
      </w:r>
      <w:r w:rsidR="00EB5ED7">
        <w:rPr>
          <w:rFonts w:asciiTheme="minorHAnsi" w:hAnsiTheme="minorHAnsi"/>
          <w:sz w:val="22"/>
          <w:szCs w:val="22"/>
        </w:rPr>
        <w:t xml:space="preserve"> The</w:t>
      </w:r>
      <w:r>
        <w:rPr>
          <w:rFonts w:asciiTheme="minorHAnsi" w:hAnsiTheme="minorHAnsi"/>
          <w:sz w:val="22"/>
          <w:szCs w:val="22"/>
        </w:rPr>
        <w:t xml:space="preserve"> </w:t>
      </w:r>
      <w:r w:rsidRPr="00EB5ED7">
        <w:rPr>
          <w:rFonts w:asciiTheme="minorHAnsi" w:hAnsiTheme="minorHAnsi"/>
          <w:i/>
          <w:sz w:val="22"/>
          <w:szCs w:val="22"/>
        </w:rPr>
        <w:t>Citizens United</w:t>
      </w:r>
      <w:r>
        <w:rPr>
          <w:rFonts w:asciiTheme="minorHAnsi" w:hAnsiTheme="minorHAnsi"/>
          <w:sz w:val="22"/>
          <w:szCs w:val="22"/>
        </w:rPr>
        <w:t xml:space="preserve"> decision </w:t>
      </w:r>
      <w:r w:rsidR="000B13E8">
        <w:rPr>
          <w:rFonts w:asciiTheme="minorHAnsi" w:hAnsiTheme="minorHAnsi"/>
          <w:color w:val="auto"/>
          <w:sz w:val="22"/>
          <w:szCs w:val="22"/>
        </w:rPr>
        <w:t>further propagates corruption:</w:t>
      </w:r>
    </w:p>
    <w:p w:rsidR="001F6D55" w:rsidRPr="001F6D55" w:rsidRDefault="001F6D55" w:rsidP="001877F3">
      <w:pPr>
        <w:pStyle w:val="Default"/>
        <w:ind w:left="1440" w:right="1440"/>
        <w:jc w:val="both"/>
        <w:rPr>
          <w:rFonts w:asciiTheme="minorHAnsi" w:hAnsiTheme="minorHAnsi"/>
          <w:color w:val="auto"/>
          <w:sz w:val="22"/>
          <w:szCs w:val="22"/>
        </w:rPr>
      </w:pPr>
      <w:r w:rsidRPr="001F6D55">
        <w:rPr>
          <w:rFonts w:asciiTheme="minorHAnsi" w:hAnsiTheme="minorHAnsi" w:cs="Arial"/>
          <w:color w:val="auto"/>
          <w:sz w:val="22"/>
          <w:szCs w:val="22"/>
        </w:rPr>
        <w:t>As</w:t>
      </w:r>
      <w:r w:rsidRPr="001F6D55">
        <w:rPr>
          <w:rStyle w:val="apple-converted-space"/>
          <w:rFonts w:asciiTheme="minorHAnsi" w:hAnsiTheme="minorHAnsi" w:cs="Arial"/>
          <w:color w:val="auto"/>
          <w:sz w:val="22"/>
          <w:szCs w:val="22"/>
        </w:rPr>
        <w:t> </w:t>
      </w:r>
      <w:r w:rsidRPr="001F6D55">
        <w:rPr>
          <w:rFonts w:asciiTheme="minorHAnsi" w:hAnsiTheme="minorHAnsi" w:cs="Arial"/>
          <w:color w:val="auto"/>
          <w:sz w:val="22"/>
          <w:szCs w:val="22"/>
        </w:rPr>
        <w:t>a consequence of</w:t>
      </w:r>
      <w:r w:rsidRPr="001F6D55">
        <w:rPr>
          <w:rStyle w:val="apple-converted-space"/>
          <w:rFonts w:asciiTheme="minorHAnsi" w:hAnsiTheme="minorHAnsi" w:cs="Arial"/>
          <w:color w:val="auto"/>
          <w:sz w:val="22"/>
          <w:szCs w:val="22"/>
        </w:rPr>
        <w:t> </w:t>
      </w:r>
      <w:r w:rsidRPr="001F6D55">
        <w:rPr>
          <w:rStyle w:val="Emphasis"/>
          <w:rFonts w:asciiTheme="minorHAnsi" w:hAnsiTheme="minorHAnsi" w:cs="Arial"/>
          <w:color w:val="auto"/>
          <w:sz w:val="22"/>
          <w:szCs w:val="22"/>
        </w:rPr>
        <w:t>Citizens United</w:t>
      </w:r>
      <w:r w:rsidRPr="001F6D55">
        <w:rPr>
          <w:rFonts w:asciiTheme="minorHAnsi" w:hAnsiTheme="minorHAnsi" w:cs="Arial"/>
          <w:color w:val="auto"/>
          <w:sz w:val="22"/>
          <w:szCs w:val="22"/>
        </w:rPr>
        <w:t>, political distortion will now manifest in two forms: (1) the political marketplace of ideas, and possibly the composition of representative government itself, will be skewed by the addition of inordinately large sums of corporate money; and (2) it will be impossible to trace money from corporate general treasuries back to actual individuals' support for the political speech in question.</w:t>
      </w:r>
      <w:r w:rsidRPr="001F6D55">
        <w:rPr>
          <w:rStyle w:val="apple-converted-space"/>
          <w:rFonts w:asciiTheme="minorHAnsi" w:hAnsiTheme="minorHAnsi" w:cs="Arial"/>
          <w:color w:val="auto"/>
          <w:sz w:val="22"/>
          <w:szCs w:val="22"/>
        </w:rPr>
        <w:t> </w:t>
      </w:r>
      <w:r w:rsidRPr="001F6D55">
        <w:rPr>
          <w:rFonts w:asciiTheme="minorHAnsi" w:hAnsiTheme="minorHAnsi" w:cs="Arial"/>
          <w:color w:val="auto"/>
          <w:sz w:val="22"/>
          <w:szCs w:val="22"/>
        </w:rPr>
        <w:t>Thus, by allowing corporations to use their general treasuries to make campaign expenditures, the</w:t>
      </w:r>
      <w:r>
        <w:rPr>
          <w:rFonts w:asciiTheme="minorHAnsi" w:hAnsiTheme="minorHAnsi" w:cs="Arial"/>
          <w:color w:val="auto"/>
          <w:sz w:val="22"/>
          <w:szCs w:val="22"/>
        </w:rPr>
        <w:t xml:space="preserve"> </w:t>
      </w:r>
      <w:r w:rsidRPr="001F6D55">
        <w:rPr>
          <w:rStyle w:val="Emphasis"/>
          <w:rFonts w:asciiTheme="minorHAnsi" w:hAnsiTheme="minorHAnsi" w:cs="Arial"/>
          <w:color w:val="auto"/>
          <w:sz w:val="22"/>
          <w:szCs w:val="22"/>
        </w:rPr>
        <w:t>Citizens United</w:t>
      </w:r>
      <w:r w:rsidRPr="001F6D55">
        <w:rPr>
          <w:rStyle w:val="apple-converted-space"/>
          <w:rFonts w:asciiTheme="minorHAnsi" w:hAnsiTheme="minorHAnsi" w:cs="Arial"/>
          <w:color w:val="auto"/>
          <w:sz w:val="22"/>
          <w:szCs w:val="22"/>
        </w:rPr>
        <w:t> </w:t>
      </w:r>
      <w:r w:rsidR="000B13E8">
        <w:rPr>
          <w:rFonts w:asciiTheme="minorHAnsi" w:hAnsiTheme="minorHAnsi" w:cs="Arial"/>
          <w:color w:val="auto"/>
          <w:sz w:val="22"/>
          <w:szCs w:val="22"/>
        </w:rPr>
        <w:t>majority has invited ‘phantom speakers’</w:t>
      </w:r>
      <w:r w:rsidRPr="001F6D55">
        <w:rPr>
          <w:rFonts w:asciiTheme="minorHAnsi" w:hAnsiTheme="minorHAnsi" w:cs="Arial"/>
          <w:color w:val="auto"/>
          <w:sz w:val="22"/>
          <w:szCs w:val="22"/>
        </w:rPr>
        <w:t xml:space="preserve"> to participate in, and distort, American politics via the marketplace of political speech.</w:t>
      </w:r>
      <w:r>
        <w:rPr>
          <w:rStyle w:val="FootnoteReference"/>
          <w:rFonts w:asciiTheme="minorHAnsi" w:hAnsiTheme="minorHAnsi" w:cs="Arial"/>
          <w:color w:val="auto"/>
          <w:sz w:val="22"/>
          <w:szCs w:val="22"/>
        </w:rPr>
        <w:footnoteReference w:id="23"/>
      </w:r>
    </w:p>
    <w:p w:rsidR="001F6D55" w:rsidRPr="001F6D55" w:rsidRDefault="001F6D55" w:rsidP="001877F3">
      <w:pPr>
        <w:pStyle w:val="Default"/>
        <w:ind w:right="1440"/>
        <w:jc w:val="both"/>
        <w:rPr>
          <w:rFonts w:asciiTheme="minorHAnsi" w:hAnsiTheme="minorHAnsi"/>
          <w:color w:val="auto"/>
          <w:sz w:val="22"/>
          <w:szCs w:val="22"/>
        </w:rPr>
      </w:pPr>
    </w:p>
    <w:p w:rsidR="00F23489" w:rsidRPr="0070560E" w:rsidRDefault="00DE3470" w:rsidP="000B13E8">
      <w:pPr>
        <w:pStyle w:val="Default"/>
        <w:spacing w:line="480" w:lineRule="auto"/>
        <w:ind w:firstLine="720"/>
        <w:jc w:val="both"/>
        <w:rPr>
          <w:rFonts w:asciiTheme="minorHAnsi" w:hAnsiTheme="minorHAnsi"/>
          <w:sz w:val="22"/>
          <w:szCs w:val="22"/>
        </w:rPr>
      </w:pPr>
      <w:r w:rsidRPr="00DE3470">
        <w:rPr>
          <w:rFonts w:asciiTheme="minorHAnsi" w:hAnsiTheme="minorHAnsi"/>
          <w:i/>
          <w:sz w:val="22"/>
          <w:szCs w:val="22"/>
        </w:rPr>
        <w:t>Citizens</w:t>
      </w:r>
      <w:r w:rsidR="00CA0FA7">
        <w:rPr>
          <w:rFonts w:asciiTheme="minorHAnsi" w:hAnsiTheme="minorHAnsi"/>
          <w:i/>
          <w:sz w:val="22"/>
          <w:szCs w:val="22"/>
        </w:rPr>
        <w:t xml:space="preserve"> United</w:t>
      </w:r>
      <w:r>
        <w:rPr>
          <w:rFonts w:asciiTheme="minorHAnsi" w:hAnsiTheme="minorHAnsi"/>
          <w:sz w:val="22"/>
          <w:szCs w:val="22"/>
        </w:rPr>
        <w:t xml:space="preserve"> has </w:t>
      </w:r>
      <w:r w:rsidR="00B73F7E">
        <w:rPr>
          <w:rFonts w:asciiTheme="minorHAnsi" w:hAnsiTheme="minorHAnsi"/>
          <w:sz w:val="22"/>
          <w:szCs w:val="22"/>
        </w:rPr>
        <w:t xml:space="preserve">created a doorway for corporations to, in effect, control legislation by determining the legislatures. </w:t>
      </w:r>
      <w:r w:rsidR="00D916B2">
        <w:rPr>
          <w:rFonts w:asciiTheme="minorHAnsi" w:hAnsiTheme="minorHAnsi"/>
          <w:sz w:val="22"/>
          <w:szCs w:val="22"/>
        </w:rPr>
        <w:t xml:space="preserve">The interests of a corporation are vastly different from individual people. A person has specific interests when voting someone to political office. </w:t>
      </w:r>
      <w:r w:rsidR="000F48DC">
        <w:rPr>
          <w:rFonts w:asciiTheme="minorHAnsi" w:hAnsiTheme="minorHAnsi"/>
          <w:sz w:val="22"/>
          <w:szCs w:val="22"/>
        </w:rPr>
        <w:t>Individuals</w:t>
      </w:r>
      <w:r w:rsidR="00D916B2">
        <w:rPr>
          <w:rFonts w:asciiTheme="minorHAnsi" w:hAnsiTheme="minorHAnsi"/>
          <w:sz w:val="22"/>
          <w:szCs w:val="22"/>
        </w:rPr>
        <w:t xml:space="preserve"> elect someone to represent their political interests. This can include a range of </w:t>
      </w:r>
      <w:r w:rsidR="000B13E8">
        <w:rPr>
          <w:rFonts w:asciiTheme="minorHAnsi" w:hAnsiTheme="minorHAnsi"/>
          <w:sz w:val="22"/>
          <w:szCs w:val="22"/>
        </w:rPr>
        <w:t>ideals</w:t>
      </w:r>
      <w:r w:rsidR="00D916B2">
        <w:rPr>
          <w:rFonts w:asciiTheme="minorHAnsi" w:hAnsiTheme="minorHAnsi"/>
          <w:sz w:val="22"/>
          <w:szCs w:val="22"/>
        </w:rPr>
        <w:t xml:space="preserve"> such as civil liberties</w:t>
      </w:r>
      <w:r w:rsidR="000B13E8">
        <w:rPr>
          <w:rFonts w:asciiTheme="minorHAnsi" w:hAnsiTheme="minorHAnsi"/>
          <w:sz w:val="22"/>
          <w:szCs w:val="22"/>
        </w:rPr>
        <w:t>, fundamental rights or welfare programs</w:t>
      </w:r>
      <w:r w:rsidR="00D916B2">
        <w:rPr>
          <w:rFonts w:asciiTheme="minorHAnsi" w:hAnsiTheme="minorHAnsi"/>
          <w:sz w:val="22"/>
          <w:szCs w:val="22"/>
        </w:rPr>
        <w:t xml:space="preserve">. A corporation’s sole purpose is to amass profit. By gaining unlimited power over the election process, a corporation can use its power and wealth to further its interests—making money. </w:t>
      </w:r>
    </w:p>
    <w:p w:rsidR="00C46460" w:rsidRDefault="00B73F7E" w:rsidP="00C46460">
      <w:pPr>
        <w:pStyle w:val="Default"/>
        <w:spacing w:line="480" w:lineRule="auto"/>
        <w:ind w:firstLine="720"/>
        <w:jc w:val="both"/>
        <w:rPr>
          <w:rFonts w:asciiTheme="minorHAnsi" w:hAnsiTheme="minorHAnsi"/>
          <w:sz w:val="22"/>
          <w:szCs w:val="22"/>
        </w:rPr>
      </w:pPr>
      <w:r>
        <w:rPr>
          <w:rFonts w:asciiTheme="minorHAnsi" w:hAnsiTheme="minorHAnsi"/>
          <w:sz w:val="22"/>
          <w:szCs w:val="22"/>
        </w:rPr>
        <w:lastRenderedPageBreak/>
        <w:t>This is a divergence fro</w:t>
      </w:r>
      <w:r w:rsidR="000B13E8">
        <w:rPr>
          <w:rFonts w:asciiTheme="minorHAnsi" w:hAnsiTheme="minorHAnsi"/>
          <w:sz w:val="22"/>
          <w:szCs w:val="22"/>
        </w:rPr>
        <w:t xml:space="preserve">m American ideals, </w:t>
      </w:r>
      <w:r w:rsidR="00505544">
        <w:rPr>
          <w:rFonts w:asciiTheme="minorHAnsi" w:hAnsiTheme="minorHAnsi"/>
          <w:sz w:val="22"/>
          <w:szCs w:val="22"/>
        </w:rPr>
        <w:t>which promote</w:t>
      </w:r>
      <w:r>
        <w:rPr>
          <w:rFonts w:asciiTheme="minorHAnsi" w:hAnsiTheme="minorHAnsi"/>
          <w:sz w:val="22"/>
          <w:szCs w:val="22"/>
        </w:rPr>
        <w:t xml:space="preserve"> democracy and </w:t>
      </w:r>
      <w:r w:rsidR="00505544">
        <w:rPr>
          <w:rFonts w:asciiTheme="minorHAnsi" w:hAnsiTheme="minorHAnsi"/>
          <w:sz w:val="22"/>
          <w:szCs w:val="22"/>
        </w:rPr>
        <w:t xml:space="preserve">strive </w:t>
      </w:r>
      <w:r>
        <w:rPr>
          <w:rFonts w:asciiTheme="minorHAnsi" w:hAnsiTheme="minorHAnsi"/>
          <w:sz w:val="22"/>
          <w:szCs w:val="22"/>
        </w:rPr>
        <w:t xml:space="preserve">to represent </w:t>
      </w:r>
      <w:r w:rsidRPr="000B13E8">
        <w:rPr>
          <w:rFonts w:asciiTheme="minorHAnsi" w:hAnsiTheme="minorHAnsi"/>
          <w:b/>
          <w:i/>
          <w:sz w:val="22"/>
          <w:szCs w:val="22"/>
        </w:rPr>
        <w:t>every</w:t>
      </w:r>
      <w:r>
        <w:rPr>
          <w:rFonts w:asciiTheme="minorHAnsi" w:hAnsiTheme="minorHAnsi"/>
          <w:sz w:val="22"/>
          <w:szCs w:val="22"/>
        </w:rPr>
        <w:t xml:space="preserve"> individual. Despite a</w:t>
      </w:r>
      <w:r w:rsidR="000B13E8">
        <w:rPr>
          <w:rFonts w:asciiTheme="minorHAnsi" w:hAnsiTheme="minorHAnsi"/>
          <w:sz w:val="22"/>
          <w:szCs w:val="22"/>
        </w:rPr>
        <w:t xml:space="preserve">ssertions that each vote counts, </w:t>
      </w:r>
      <w:r>
        <w:rPr>
          <w:rFonts w:asciiTheme="minorHAnsi" w:hAnsiTheme="minorHAnsi"/>
          <w:sz w:val="22"/>
          <w:szCs w:val="22"/>
        </w:rPr>
        <w:t xml:space="preserve">and every person needs to exercise their right to vote, in light of </w:t>
      </w:r>
      <w:r w:rsidRPr="00B73F7E">
        <w:rPr>
          <w:rFonts w:asciiTheme="minorHAnsi" w:hAnsiTheme="minorHAnsi"/>
          <w:i/>
          <w:sz w:val="22"/>
          <w:szCs w:val="22"/>
        </w:rPr>
        <w:t>Citizens United</w:t>
      </w:r>
      <w:r>
        <w:rPr>
          <w:rFonts w:asciiTheme="minorHAnsi" w:hAnsiTheme="minorHAnsi"/>
          <w:sz w:val="22"/>
          <w:szCs w:val="22"/>
        </w:rPr>
        <w:t>, corporations now have the opportunity to dominate elections and the political spectrum. As a result, people might be even less likely to vote given that they feel their vote is futile and of minimal bearing</w:t>
      </w:r>
      <w:r w:rsidRPr="000B13E8">
        <w:rPr>
          <w:rFonts w:asciiTheme="minorHAnsi" w:hAnsiTheme="minorHAnsi"/>
          <w:sz w:val="22"/>
          <w:szCs w:val="22"/>
        </w:rPr>
        <w:t xml:space="preserve">. </w:t>
      </w:r>
      <w:r w:rsidR="00F23489" w:rsidRPr="000B13E8">
        <w:rPr>
          <w:rFonts w:asciiTheme="minorHAnsi" w:hAnsiTheme="minorHAnsi"/>
          <w:sz w:val="22"/>
          <w:szCs w:val="22"/>
        </w:rPr>
        <w:t xml:space="preserve">In addition to this drowning of </w:t>
      </w:r>
      <w:r w:rsidR="000B13E8">
        <w:rPr>
          <w:rFonts w:asciiTheme="minorHAnsi" w:hAnsiTheme="minorHAnsi"/>
          <w:sz w:val="22"/>
          <w:szCs w:val="22"/>
        </w:rPr>
        <w:t>individual</w:t>
      </w:r>
      <w:r w:rsidR="00F23489" w:rsidRPr="000B13E8">
        <w:rPr>
          <w:rFonts w:asciiTheme="minorHAnsi" w:hAnsiTheme="minorHAnsi"/>
          <w:sz w:val="22"/>
          <w:szCs w:val="22"/>
        </w:rPr>
        <w:t xml:space="preserve"> voices, </w:t>
      </w:r>
      <w:r w:rsidR="000B13E8">
        <w:rPr>
          <w:rFonts w:asciiTheme="minorHAnsi" w:hAnsiTheme="minorHAnsi"/>
          <w:sz w:val="22"/>
          <w:szCs w:val="22"/>
        </w:rPr>
        <w:t>“</w:t>
      </w:r>
      <w:r w:rsidR="00F23489" w:rsidRPr="000B13E8">
        <w:rPr>
          <w:rFonts w:asciiTheme="minorHAnsi" w:hAnsiTheme="minorHAnsi"/>
          <w:sz w:val="22"/>
          <w:szCs w:val="22"/>
        </w:rPr>
        <w:t>there may be deleterious effe</w:t>
      </w:r>
      <w:r w:rsidR="000B13E8">
        <w:rPr>
          <w:rFonts w:asciiTheme="minorHAnsi" w:hAnsiTheme="minorHAnsi"/>
          <w:sz w:val="22"/>
          <w:szCs w:val="22"/>
        </w:rPr>
        <w:t xml:space="preserve">cts that follow soon thereafter [because] [c]orporate ‘domination’ of electioneering . . . </w:t>
      </w:r>
      <w:r w:rsidR="00F23489" w:rsidRPr="000B13E8">
        <w:rPr>
          <w:rFonts w:asciiTheme="minorHAnsi" w:hAnsiTheme="minorHAnsi"/>
          <w:sz w:val="22"/>
          <w:szCs w:val="22"/>
        </w:rPr>
        <w:t>can generate the impression that corporations dominate our democracy.</w:t>
      </w:r>
      <w:r w:rsidR="000B13E8">
        <w:rPr>
          <w:rFonts w:asciiTheme="minorHAnsi" w:hAnsiTheme="minorHAnsi"/>
          <w:sz w:val="22"/>
          <w:szCs w:val="22"/>
        </w:rPr>
        <w:t>”</w:t>
      </w:r>
      <w:r w:rsidR="000B13E8" w:rsidRPr="000B13E8">
        <w:rPr>
          <w:rStyle w:val="FootnoteReference"/>
          <w:rFonts w:asciiTheme="minorHAnsi" w:hAnsiTheme="minorHAnsi"/>
          <w:sz w:val="22"/>
          <w:szCs w:val="22"/>
        </w:rPr>
        <w:footnoteReference w:id="24"/>
      </w:r>
      <w:r w:rsidR="00F23489" w:rsidRPr="000B13E8">
        <w:rPr>
          <w:rFonts w:asciiTheme="minorHAnsi" w:hAnsiTheme="minorHAnsi"/>
          <w:sz w:val="22"/>
          <w:szCs w:val="22"/>
        </w:rPr>
        <w:t xml:space="preserve"> </w:t>
      </w:r>
      <w:r w:rsidR="000B13E8">
        <w:rPr>
          <w:rFonts w:asciiTheme="minorHAnsi" w:hAnsiTheme="minorHAnsi"/>
          <w:sz w:val="22"/>
          <w:szCs w:val="22"/>
        </w:rPr>
        <w:t xml:space="preserve">Specifically, when </w:t>
      </w:r>
      <w:r w:rsidR="00F23489" w:rsidRPr="000B13E8">
        <w:rPr>
          <w:rFonts w:asciiTheme="minorHAnsi" w:hAnsiTheme="minorHAnsi"/>
          <w:sz w:val="22"/>
          <w:szCs w:val="22"/>
        </w:rPr>
        <w:t xml:space="preserve">citizens turn on their televisions and radios </w:t>
      </w:r>
      <w:r w:rsidR="000B13E8">
        <w:rPr>
          <w:rFonts w:asciiTheme="minorHAnsi" w:hAnsiTheme="minorHAnsi"/>
          <w:sz w:val="22"/>
          <w:szCs w:val="22"/>
        </w:rPr>
        <w:t xml:space="preserve">during an election cycle and hear only corporate electioneering, “they may lose faith in their capacity, </w:t>
      </w:r>
      <w:r w:rsidR="00F23489" w:rsidRPr="000B13E8">
        <w:rPr>
          <w:rFonts w:asciiTheme="minorHAnsi" w:hAnsiTheme="minorHAnsi"/>
          <w:sz w:val="22"/>
          <w:szCs w:val="22"/>
        </w:rPr>
        <w:t>as citizens, to influence public policy.</w:t>
      </w:r>
      <w:r w:rsidR="000B13E8">
        <w:rPr>
          <w:rFonts w:asciiTheme="minorHAnsi" w:hAnsiTheme="minorHAnsi"/>
          <w:sz w:val="22"/>
          <w:szCs w:val="22"/>
        </w:rPr>
        <w:t>”</w:t>
      </w:r>
      <w:r w:rsidR="00C46460">
        <w:rPr>
          <w:rStyle w:val="FootnoteReference"/>
          <w:rFonts w:asciiTheme="minorHAnsi" w:hAnsiTheme="minorHAnsi"/>
          <w:sz w:val="22"/>
          <w:szCs w:val="22"/>
        </w:rPr>
        <w:footnoteReference w:id="25"/>
      </w:r>
      <w:r w:rsidR="00C46460">
        <w:rPr>
          <w:rFonts w:asciiTheme="minorHAnsi" w:hAnsiTheme="minorHAnsi"/>
          <w:sz w:val="22"/>
          <w:szCs w:val="22"/>
        </w:rPr>
        <w:t xml:space="preserve"> Citizens will believe that “</w:t>
      </w:r>
      <w:r w:rsidR="00F23489" w:rsidRPr="000B13E8">
        <w:rPr>
          <w:rFonts w:asciiTheme="minorHAnsi" w:hAnsiTheme="minorHAnsi"/>
          <w:sz w:val="22"/>
          <w:szCs w:val="22"/>
        </w:rPr>
        <w:t>Government c</w:t>
      </w:r>
      <w:r w:rsidR="00C46460">
        <w:rPr>
          <w:rFonts w:asciiTheme="minorHAnsi" w:hAnsiTheme="minorHAnsi"/>
          <w:sz w:val="22"/>
          <w:szCs w:val="22"/>
        </w:rPr>
        <w:t>aptured by corporate interests . . . will</w:t>
      </w:r>
      <w:r w:rsidR="00F23489" w:rsidRPr="000B13E8">
        <w:rPr>
          <w:rFonts w:asciiTheme="minorHAnsi" w:hAnsiTheme="minorHAnsi"/>
          <w:sz w:val="22"/>
          <w:szCs w:val="22"/>
        </w:rPr>
        <w:t xml:space="preserve"> be neither responsive to their needs nor willing to give their views a fair hearing.</w:t>
      </w:r>
      <w:r w:rsidR="00C46460">
        <w:rPr>
          <w:rFonts w:asciiTheme="minorHAnsi" w:hAnsiTheme="minorHAnsi"/>
          <w:sz w:val="22"/>
          <w:szCs w:val="22"/>
        </w:rPr>
        <w:t>”</w:t>
      </w:r>
      <w:r w:rsidR="00C46460">
        <w:rPr>
          <w:rStyle w:val="FootnoteReference"/>
          <w:rFonts w:asciiTheme="minorHAnsi" w:hAnsiTheme="minorHAnsi"/>
          <w:sz w:val="22"/>
          <w:szCs w:val="22"/>
        </w:rPr>
        <w:footnoteReference w:id="26"/>
      </w:r>
      <w:r w:rsidR="00F23489" w:rsidRPr="000B13E8">
        <w:rPr>
          <w:rFonts w:asciiTheme="minorHAnsi" w:hAnsiTheme="minorHAnsi"/>
          <w:sz w:val="22"/>
          <w:szCs w:val="22"/>
        </w:rPr>
        <w:t xml:space="preserve"> </w:t>
      </w:r>
      <w:r w:rsidR="00C46460">
        <w:rPr>
          <w:rFonts w:asciiTheme="minorHAnsi" w:hAnsiTheme="minorHAnsi"/>
          <w:sz w:val="22"/>
          <w:szCs w:val="22"/>
        </w:rPr>
        <w:t>Ultimately, the “</w:t>
      </w:r>
      <w:r w:rsidR="00F23489" w:rsidRPr="000B13E8">
        <w:rPr>
          <w:rFonts w:asciiTheme="minorHAnsi" w:hAnsiTheme="minorHAnsi"/>
          <w:sz w:val="22"/>
          <w:szCs w:val="22"/>
        </w:rPr>
        <w:t>result is cynicism and disenchantment: an increased perception</w:t>
      </w:r>
      <w:r w:rsidR="00C46460">
        <w:rPr>
          <w:rFonts w:asciiTheme="minorHAnsi" w:hAnsiTheme="minorHAnsi"/>
          <w:sz w:val="22"/>
          <w:szCs w:val="22"/>
        </w:rPr>
        <w:t xml:space="preserve"> that large spenders ‘call the tune’</w:t>
      </w:r>
      <w:r w:rsidR="00F23489" w:rsidRPr="000B13E8">
        <w:rPr>
          <w:rFonts w:asciiTheme="minorHAnsi" w:hAnsiTheme="minorHAnsi"/>
          <w:sz w:val="22"/>
          <w:szCs w:val="22"/>
        </w:rPr>
        <w:t xml:space="preserve"> and reduced</w:t>
      </w:r>
      <w:r w:rsidR="00C46460">
        <w:rPr>
          <w:rFonts w:asciiTheme="minorHAnsi" w:hAnsiTheme="minorHAnsi"/>
          <w:sz w:val="22"/>
          <w:szCs w:val="22"/>
        </w:rPr>
        <w:t xml:space="preserve"> ‘</w:t>
      </w:r>
      <w:r w:rsidR="00F23489" w:rsidRPr="000B13E8">
        <w:rPr>
          <w:rFonts w:asciiTheme="minorHAnsi" w:hAnsiTheme="minorHAnsi"/>
          <w:sz w:val="22"/>
          <w:szCs w:val="22"/>
        </w:rPr>
        <w:t>willingness of voters to take part in democratic governance.’”</w:t>
      </w:r>
      <w:r w:rsidR="00C46460">
        <w:rPr>
          <w:rStyle w:val="FootnoteReference"/>
          <w:rFonts w:asciiTheme="minorHAnsi" w:hAnsiTheme="minorHAnsi"/>
          <w:sz w:val="22"/>
          <w:szCs w:val="22"/>
        </w:rPr>
        <w:footnoteReference w:id="27"/>
      </w:r>
    </w:p>
    <w:p w:rsidR="00DE3470" w:rsidRDefault="00C46460" w:rsidP="00C46460">
      <w:pPr>
        <w:pStyle w:val="Default"/>
        <w:spacing w:line="480" w:lineRule="auto"/>
        <w:ind w:firstLine="720"/>
        <w:jc w:val="both"/>
        <w:rPr>
          <w:rFonts w:asciiTheme="minorHAnsi" w:hAnsiTheme="minorHAnsi"/>
          <w:sz w:val="22"/>
          <w:szCs w:val="22"/>
        </w:rPr>
      </w:pPr>
      <w:r>
        <w:rPr>
          <w:rFonts w:asciiTheme="minorHAnsi" w:hAnsiTheme="minorHAnsi"/>
          <w:sz w:val="22"/>
          <w:szCs w:val="22"/>
        </w:rPr>
        <w:t xml:space="preserve">The </w:t>
      </w:r>
      <w:r w:rsidR="007877A6">
        <w:rPr>
          <w:rFonts w:asciiTheme="minorHAnsi" w:hAnsiTheme="minorHAnsi"/>
          <w:sz w:val="22"/>
          <w:szCs w:val="22"/>
        </w:rPr>
        <w:t>rights</w:t>
      </w:r>
      <w:r>
        <w:rPr>
          <w:rFonts w:asciiTheme="minorHAnsi" w:hAnsiTheme="minorHAnsi"/>
          <w:sz w:val="22"/>
          <w:szCs w:val="22"/>
        </w:rPr>
        <w:t xml:space="preserve"> of the people</w:t>
      </w:r>
      <w:r w:rsidR="007877A6">
        <w:rPr>
          <w:rFonts w:asciiTheme="minorHAnsi" w:hAnsiTheme="minorHAnsi"/>
          <w:sz w:val="22"/>
          <w:szCs w:val="22"/>
        </w:rPr>
        <w:t xml:space="preserve"> continue to be overshadowed in wake of further empowerment of corporate wealth. </w:t>
      </w:r>
      <w:r w:rsidR="00F23489">
        <w:rPr>
          <w:rFonts w:asciiTheme="minorHAnsi" w:hAnsiTheme="minorHAnsi"/>
          <w:sz w:val="22"/>
          <w:szCs w:val="22"/>
        </w:rPr>
        <w:t xml:space="preserve">If people believe their voice is lost, then we no longer </w:t>
      </w:r>
      <w:r>
        <w:rPr>
          <w:rFonts w:asciiTheme="minorHAnsi" w:hAnsiTheme="minorHAnsi"/>
          <w:sz w:val="22"/>
          <w:szCs w:val="22"/>
        </w:rPr>
        <w:t>function</w:t>
      </w:r>
      <w:r w:rsidR="00F23489">
        <w:rPr>
          <w:rFonts w:asciiTheme="minorHAnsi" w:hAnsiTheme="minorHAnsi"/>
          <w:sz w:val="22"/>
          <w:szCs w:val="22"/>
        </w:rPr>
        <w:t xml:space="preserve"> as a democracy. Corporate power over the political spectrum </w:t>
      </w:r>
      <w:r w:rsidR="00EB5ED7">
        <w:rPr>
          <w:rFonts w:asciiTheme="minorHAnsi" w:hAnsiTheme="minorHAnsi"/>
          <w:sz w:val="22"/>
          <w:szCs w:val="22"/>
        </w:rPr>
        <w:t xml:space="preserve">contradicts the foundation of our government. The voice of the people is lost to a powerful group against which the people have no </w:t>
      </w:r>
      <w:r>
        <w:rPr>
          <w:rFonts w:asciiTheme="minorHAnsi" w:hAnsiTheme="minorHAnsi"/>
          <w:sz w:val="22"/>
          <w:szCs w:val="22"/>
        </w:rPr>
        <w:t>mechanism to combat</w:t>
      </w:r>
      <w:r w:rsidR="00EB5ED7">
        <w:rPr>
          <w:rFonts w:asciiTheme="minorHAnsi" w:hAnsiTheme="minorHAnsi"/>
          <w:sz w:val="22"/>
          <w:szCs w:val="22"/>
        </w:rPr>
        <w:t xml:space="preserve">. </w:t>
      </w:r>
    </w:p>
    <w:p w:rsidR="00131F8C" w:rsidRDefault="00131F8C" w:rsidP="001877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Segoe Print"/>
        </w:rPr>
      </w:pPr>
      <w:r>
        <w:tab/>
      </w:r>
      <w:r w:rsidR="004D4803" w:rsidRPr="00131F8C">
        <w:t xml:space="preserve">The implications of the </w:t>
      </w:r>
      <w:r w:rsidR="004D4803" w:rsidRPr="00131F8C">
        <w:rPr>
          <w:i/>
        </w:rPr>
        <w:t>Citizens United</w:t>
      </w:r>
      <w:r w:rsidR="004D4803" w:rsidRPr="00131F8C">
        <w:t xml:space="preserve"> decision are far reaching. </w:t>
      </w:r>
      <w:r w:rsidRPr="00131F8C">
        <w:t xml:space="preserve">In addition to the muting effect it has on the people, it also similarly discounts the rights of employees and shareholders of the corporation itself. </w:t>
      </w:r>
      <w:r w:rsidRPr="00131F8C">
        <w:rPr>
          <w:rFonts w:cs="Segoe Print"/>
        </w:rPr>
        <w:t xml:space="preserve">Shareholders who carry stock in a company </w:t>
      </w:r>
      <w:r>
        <w:rPr>
          <w:rFonts w:cs="Segoe Print"/>
        </w:rPr>
        <w:t xml:space="preserve">generally </w:t>
      </w:r>
      <w:r w:rsidRPr="00131F8C">
        <w:rPr>
          <w:rFonts w:cs="Segoe Print"/>
        </w:rPr>
        <w:t>do so without political mot</w:t>
      </w:r>
      <w:r w:rsidR="00C46460">
        <w:rPr>
          <w:rFonts w:cs="Segoe Print"/>
        </w:rPr>
        <w:t>ivations. Yet, when a corporation</w:t>
      </w:r>
      <w:r w:rsidRPr="00131F8C">
        <w:rPr>
          <w:rFonts w:cs="Segoe Print"/>
        </w:rPr>
        <w:t xml:space="preserve"> advance</w:t>
      </w:r>
      <w:r w:rsidR="00C46460">
        <w:rPr>
          <w:rFonts w:cs="Segoe Print"/>
        </w:rPr>
        <w:t>s</w:t>
      </w:r>
      <w:r w:rsidRPr="00131F8C">
        <w:rPr>
          <w:rFonts w:cs="Segoe Print"/>
        </w:rPr>
        <w:t xml:space="preserve"> </w:t>
      </w:r>
      <w:r w:rsidR="00C46460">
        <w:rPr>
          <w:rFonts w:cs="Segoe Print"/>
        </w:rPr>
        <w:t>its</w:t>
      </w:r>
      <w:r w:rsidRPr="00131F8C">
        <w:rPr>
          <w:rFonts w:cs="Segoe Print"/>
        </w:rPr>
        <w:t xml:space="preserve"> political views through corporate campaign financing, </w:t>
      </w:r>
      <w:r w:rsidR="00C46460">
        <w:rPr>
          <w:rFonts w:cs="Segoe Print"/>
        </w:rPr>
        <w:t>it is</w:t>
      </w:r>
      <w:r w:rsidRPr="00131F8C">
        <w:rPr>
          <w:rFonts w:cs="Segoe Print"/>
        </w:rPr>
        <w:t xml:space="preserve"> forcing </w:t>
      </w:r>
      <w:r w:rsidR="00C46460">
        <w:rPr>
          <w:rFonts w:cs="Segoe Print"/>
        </w:rPr>
        <w:t xml:space="preserve">its </w:t>
      </w:r>
      <w:r w:rsidRPr="00131F8C">
        <w:rPr>
          <w:rFonts w:cs="Segoe Print"/>
        </w:rPr>
        <w:t>political views onto sha</w:t>
      </w:r>
      <w:r>
        <w:rPr>
          <w:rFonts w:cs="Segoe Print"/>
        </w:rPr>
        <w:t>reholders</w:t>
      </w:r>
      <w:r w:rsidR="00C46460">
        <w:rPr>
          <w:rFonts w:cs="Segoe Print"/>
        </w:rPr>
        <w:t>,</w:t>
      </w:r>
      <w:r>
        <w:rPr>
          <w:rFonts w:cs="Segoe Print"/>
        </w:rPr>
        <w:t xml:space="preserve"> who have no voice </w:t>
      </w:r>
      <w:r w:rsidR="00C46460">
        <w:rPr>
          <w:rFonts w:cs="Segoe Print"/>
        </w:rPr>
        <w:t>in</w:t>
      </w:r>
      <w:r>
        <w:rPr>
          <w:rFonts w:cs="Segoe Print"/>
        </w:rPr>
        <w:t xml:space="preserve"> the </w:t>
      </w:r>
      <w:r w:rsidR="00C46460">
        <w:rPr>
          <w:rFonts w:cs="Segoe Print"/>
        </w:rPr>
        <w:t>matter</w:t>
      </w:r>
      <w:r>
        <w:rPr>
          <w:rFonts w:cs="Segoe Print"/>
        </w:rPr>
        <w:t>.</w:t>
      </w:r>
      <w:r w:rsidR="00C46460">
        <w:rPr>
          <w:rFonts w:cs="Segoe Print"/>
        </w:rPr>
        <w:t xml:space="preserve"> Simply stated:</w:t>
      </w:r>
      <w:r>
        <w:rPr>
          <w:rFonts w:cs="Segoe Print"/>
        </w:rPr>
        <w:t xml:space="preserve"> </w:t>
      </w:r>
    </w:p>
    <w:p w:rsidR="00131F8C" w:rsidRDefault="00131F8C" w:rsidP="001877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440" w:right="1440"/>
        <w:jc w:val="both"/>
        <w:rPr>
          <w:rFonts w:cs="Segoe Print"/>
        </w:rPr>
      </w:pPr>
      <w:r w:rsidRPr="00131F8C">
        <w:rPr>
          <w:rFonts w:cs="Segoe Print"/>
        </w:rPr>
        <w:lastRenderedPageBreak/>
        <w:t>Shareholders in these companies usually hold stock for reasons having</w:t>
      </w:r>
      <w:r>
        <w:rPr>
          <w:rFonts w:cs="Segoe Print"/>
        </w:rPr>
        <w:t xml:space="preserve"> nothing to do with a desire to </w:t>
      </w:r>
      <w:r w:rsidRPr="00131F8C">
        <w:rPr>
          <w:rFonts w:cs="Segoe Print"/>
        </w:rPr>
        <w:t>participate in collective political expression. In fact, such activity may har</w:t>
      </w:r>
      <w:r>
        <w:rPr>
          <w:rFonts w:cs="Segoe Print"/>
        </w:rPr>
        <w:t xml:space="preserve">m their interests; studies have </w:t>
      </w:r>
      <w:r w:rsidRPr="00131F8C">
        <w:rPr>
          <w:rFonts w:cs="Segoe Print"/>
        </w:rPr>
        <w:t>shown that it correlates n</w:t>
      </w:r>
      <w:r>
        <w:rPr>
          <w:rFonts w:cs="Segoe Print"/>
        </w:rPr>
        <w:t xml:space="preserve">egatively to shareholder value. </w:t>
      </w:r>
      <w:r w:rsidRPr="00131F8C">
        <w:rPr>
          <w:rFonts w:cs="Segoe Print"/>
        </w:rPr>
        <w:t>When for-profit companie</w:t>
      </w:r>
      <w:r w:rsidR="00C46460">
        <w:rPr>
          <w:rFonts w:cs="Segoe Print"/>
        </w:rPr>
        <w:t>s nevertheless choose to ‘speak’</w:t>
      </w:r>
      <w:r w:rsidRPr="00131F8C">
        <w:rPr>
          <w:rFonts w:cs="Segoe Print"/>
        </w:rPr>
        <w:t xml:space="preserve"> through political </w:t>
      </w:r>
      <w:r>
        <w:rPr>
          <w:rFonts w:cs="Segoe Print"/>
        </w:rPr>
        <w:t xml:space="preserve">advocacy, that speech typically </w:t>
      </w:r>
      <w:r w:rsidRPr="00131F8C">
        <w:rPr>
          <w:rFonts w:cs="Segoe Print"/>
        </w:rPr>
        <w:t>reflec</w:t>
      </w:r>
      <w:r>
        <w:rPr>
          <w:rFonts w:cs="Segoe Print"/>
        </w:rPr>
        <w:t xml:space="preserve">ts not the views and priorities </w:t>
      </w:r>
      <w:r w:rsidRPr="00131F8C">
        <w:rPr>
          <w:rFonts w:cs="Segoe Print"/>
        </w:rPr>
        <w:t>of the shareholders, but those of high-level corporat</w:t>
      </w:r>
      <w:r>
        <w:rPr>
          <w:rFonts w:cs="Segoe Print"/>
        </w:rPr>
        <w:t xml:space="preserve">e managers. These managers may be trying to </w:t>
      </w:r>
      <w:r w:rsidRPr="00131F8C">
        <w:rPr>
          <w:rFonts w:cs="Segoe Print"/>
        </w:rPr>
        <w:t>advance their personal beliefs, or they may f</w:t>
      </w:r>
      <w:r>
        <w:rPr>
          <w:rFonts w:cs="Segoe Print"/>
        </w:rPr>
        <w:t xml:space="preserve">eel the need to spend money for </w:t>
      </w:r>
      <w:r w:rsidRPr="00131F8C">
        <w:rPr>
          <w:rFonts w:cs="Segoe Print"/>
        </w:rPr>
        <w:t xml:space="preserve">strategic reasons (corporate PACs, for example, commonly give to both </w:t>
      </w:r>
      <w:r>
        <w:rPr>
          <w:rFonts w:cs="Segoe Print"/>
        </w:rPr>
        <w:t xml:space="preserve">political parties). Regardless, </w:t>
      </w:r>
      <w:r w:rsidRPr="00131F8C">
        <w:rPr>
          <w:rFonts w:cs="Segoe Print"/>
        </w:rPr>
        <w:t>shareholders typically have no input over such decisions.</w:t>
      </w:r>
      <w:r w:rsidR="00E90757">
        <w:rPr>
          <w:rStyle w:val="FootnoteReference"/>
          <w:rFonts w:cs="Segoe Print"/>
        </w:rPr>
        <w:footnoteReference w:id="28"/>
      </w:r>
    </w:p>
    <w:p w:rsidR="00131F8C" w:rsidRDefault="00131F8C" w:rsidP="001877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Segoe Print"/>
        </w:rPr>
      </w:pPr>
    </w:p>
    <w:p w:rsidR="00AF7B65" w:rsidRDefault="00C46460" w:rsidP="001877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Century Schoolbook"/>
          <w:color w:val="000000"/>
        </w:rPr>
      </w:pPr>
      <w:r>
        <w:rPr>
          <w:rFonts w:cs="Segoe Print"/>
        </w:rPr>
        <w:tab/>
      </w:r>
      <w:r w:rsidR="00A2530C" w:rsidRPr="00A2530C">
        <w:rPr>
          <w:rFonts w:cs="Segoe Print"/>
        </w:rPr>
        <w:t xml:space="preserve">While the decision in </w:t>
      </w:r>
      <w:r w:rsidR="00A2530C" w:rsidRPr="00C46460">
        <w:rPr>
          <w:rFonts w:cs="Segoe Print"/>
          <w:i/>
        </w:rPr>
        <w:t>Citizen</w:t>
      </w:r>
      <w:r w:rsidRPr="00C46460">
        <w:rPr>
          <w:rFonts w:cs="Segoe Print"/>
          <w:i/>
        </w:rPr>
        <w:t>s</w:t>
      </w:r>
      <w:r w:rsidR="00A2530C" w:rsidRPr="00C46460">
        <w:rPr>
          <w:rFonts w:cs="Segoe Print"/>
          <w:i/>
        </w:rPr>
        <w:t xml:space="preserve"> United</w:t>
      </w:r>
      <w:r w:rsidR="00A2530C" w:rsidRPr="00A2530C">
        <w:rPr>
          <w:rFonts w:cs="Segoe Print"/>
        </w:rPr>
        <w:t xml:space="preserve"> was intended to protect the speech of the corporation, it is difficult to ascertain who is </w:t>
      </w:r>
      <w:r w:rsidR="00A2530C">
        <w:rPr>
          <w:rFonts w:cs="Segoe Print"/>
        </w:rPr>
        <w:t>expressing their right to speech</w:t>
      </w:r>
      <w:r w:rsidR="00A2530C" w:rsidRPr="00A2530C">
        <w:rPr>
          <w:rFonts w:cs="Segoe Print"/>
        </w:rPr>
        <w:t xml:space="preserve"> when a corporation funds endorsements or attack ads for a candidate. The shareholders and employees, who have little to no participation in </w:t>
      </w:r>
      <w:r w:rsidR="00A2530C">
        <w:rPr>
          <w:rFonts w:cs="Segoe Print"/>
        </w:rPr>
        <w:t>the</w:t>
      </w:r>
      <w:r w:rsidR="00A2530C" w:rsidRPr="00A2530C">
        <w:rPr>
          <w:rFonts w:cs="Segoe Print"/>
        </w:rPr>
        <w:t xml:space="preserve"> decision</w:t>
      </w:r>
      <w:r w:rsidR="00A2530C">
        <w:rPr>
          <w:rFonts w:cs="Segoe Print"/>
        </w:rPr>
        <w:t>,</w:t>
      </w:r>
      <w:r w:rsidR="00A2530C" w:rsidRPr="00A2530C">
        <w:rPr>
          <w:rFonts w:cs="Segoe Print"/>
        </w:rPr>
        <w:t xml:space="preserve"> are not having their views expressed. Likely</w:t>
      </w:r>
      <w:r w:rsidR="00A2530C" w:rsidRPr="00AF7B65">
        <w:rPr>
          <w:rFonts w:cs="Segoe Print"/>
        </w:rPr>
        <w:t>, the political views of the shareholders go unknown to the decision makers within a corporation. Justice Stevens examines t</w:t>
      </w:r>
      <w:r w:rsidR="00660434" w:rsidRPr="00AF7B65">
        <w:rPr>
          <w:rFonts w:cs="Segoe Print"/>
        </w:rPr>
        <w:t>his issue in attempting to understand who actually does the speaking for a corporation when endorsing or advocating against a candidate</w:t>
      </w:r>
      <w:r>
        <w:rPr>
          <w:rFonts w:cs="Segoe Print"/>
        </w:rPr>
        <w:t>.</w:t>
      </w:r>
      <w:r w:rsidR="00660434" w:rsidRPr="00AF7B65">
        <w:rPr>
          <w:rFonts w:cs="Segoe Print"/>
        </w:rPr>
        <w:t xml:space="preserve"> </w:t>
      </w:r>
      <w:r w:rsidR="00A2530C" w:rsidRPr="00AF7B65">
        <w:rPr>
          <w:rFonts w:cs="Segoe Print"/>
        </w:rPr>
        <w:t>“</w:t>
      </w:r>
      <w:r w:rsidR="00A2530C" w:rsidRPr="00AF7B65">
        <w:rPr>
          <w:rFonts w:cs="Century Schoolbook"/>
          <w:color w:val="000000"/>
        </w:rPr>
        <w:t>Perhaps the officer or directors of the corporation have the best claim to be the ones speaking, except their fiduciary duties generally prohibit them from using corporate funds for personal ends.”</w:t>
      </w:r>
      <w:r w:rsidR="00A2530C" w:rsidRPr="00AF7B65">
        <w:rPr>
          <w:rStyle w:val="FootnoteReference"/>
          <w:rFonts w:cs="Century Schoolbook"/>
          <w:color w:val="000000"/>
        </w:rPr>
        <w:footnoteReference w:id="29"/>
      </w:r>
      <w:r w:rsidR="00A2530C" w:rsidRPr="00AF7B65">
        <w:rPr>
          <w:rFonts w:cs="Century Schoolbook"/>
          <w:color w:val="000000"/>
        </w:rPr>
        <w:t xml:space="preserve"> </w:t>
      </w:r>
      <w:r w:rsidR="00260F3F">
        <w:rPr>
          <w:rFonts w:cs="Century Schoolbook"/>
          <w:color w:val="000000"/>
        </w:rPr>
        <w:t>The corporate speech being protected should reflect the entity as a whole. Instead, it remains vague whose views within the corporation are actually being expressed.</w:t>
      </w:r>
    </w:p>
    <w:p w:rsidR="00A66BB4" w:rsidRPr="00AF7B65" w:rsidRDefault="00AF7B65" w:rsidP="001877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Century Schoolbook"/>
          <w:color w:val="000000"/>
        </w:rPr>
      </w:pPr>
      <w:r>
        <w:rPr>
          <w:rFonts w:cs="Century Schoolbook"/>
          <w:color w:val="000000"/>
        </w:rPr>
        <w:tab/>
      </w:r>
      <w:r w:rsidRPr="00AF7B65">
        <w:rPr>
          <w:rFonts w:cs="Segoe Print"/>
        </w:rPr>
        <w:t>Corporate Managers generally determine how to allocate</w:t>
      </w:r>
      <w:r>
        <w:rPr>
          <w:rFonts w:cs="Segoe Print"/>
        </w:rPr>
        <w:t xml:space="preserve"> treasury money for election</w:t>
      </w:r>
      <w:r w:rsidR="007F7532">
        <w:rPr>
          <w:rFonts w:cs="Segoe Print"/>
        </w:rPr>
        <w:t>s</w:t>
      </w:r>
      <w:r>
        <w:rPr>
          <w:rFonts w:cs="Segoe Print"/>
        </w:rPr>
        <w:t>. S</w:t>
      </w:r>
      <w:r w:rsidRPr="00AF7B65">
        <w:rPr>
          <w:rFonts w:cs="Segoe Print"/>
        </w:rPr>
        <w:t>hareholders are not given a voice in this determination and generally they can do little to remedy the actions of a controlling group within the corporation.</w:t>
      </w:r>
      <w:r>
        <w:rPr>
          <w:rFonts w:cs="Segoe Print"/>
        </w:rPr>
        <w:t xml:space="preserve"> Even more troubling is the fact that “</w:t>
      </w:r>
      <w:r>
        <w:t xml:space="preserve">shareholders often do not even know when their money is being spent on electoral advocacy. Many large corporations funnel their election spending through 501(c) nonprofits and trade associations that can </w:t>
      </w:r>
      <w:r>
        <w:lastRenderedPageBreak/>
        <w:t>keep their donors secret.”</w:t>
      </w:r>
      <w:r>
        <w:rPr>
          <w:rStyle w:val="FootnoteReference"/>
        </w:rPr>
        <w:footnoteReference w:id="30"/>
      </w:r>
      <w:r>
        <w:t xml:space="preserve"> Not only do shareholders have little to no control over how treasury funds are used in campaign finance, they do not even know where most of the money goes. </w:t>
      </w:r>
    </w:p>
    <w:p w:rsidR="001877F3" w:rsidRPr="001877F3" w:rsidRDefault="00A66BB4" w:rsidP="001877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Century Schoolbook"/>
          <w:color w:val="000000"/>
        </w:rPr>
      </w:pPr>
      <w:r>
        <w:rPr>
          <w:rFonts w:cs="Century Schoolbook"/>
          <w:color w:val="000000"/>
        </w:rPr>
        <w:tab/>
        <w:t xml:space="preserve">In defending </w:t>
      </w:r>
      <w:r w:rsidR="007F7532">
        <w:rPr>
          <w:rFonts w:cs="Century Schoolbook"/>
          <w:color w:val="000000"/>
        </w:rPr>
        <w:t>its</w:t>
      </w:r>
      <w:r>
        <w:rPr>
          <w:rFonts w:cs="Century Schoolbook"/>
          <w:color w:val="000000"/>
        </w:rPr>
        <w:t xml:space="preserve"> opinion</w:t>
      </w:r>
      <w:r w:rsidR="007F7532">
        <w:rPr>
          <w:rFonts w:cs="Century Schoolbook"/>
          <w:color w:val="000000"/>
        </w:rPr>
        <w:t>,</w:t>
      </w:r>
      <w:r>
        <w:rPr>
          <w:rFonts w:cs="Century Schoolbook"/>
          <w:color w:val="000000"/>
        </w:rPr>
        <w:t xml:space="preserve"> the majority determined that the lack of distinction between a corporation and media corporations opens the door to limits on freedoms that would be unconstitutional. </w:t>
      </w:r>
      <w:r w:rsidRPr="00A66BB4">
        <w:rPr>
          <w:rFonts w:cs="Century Schoolbook"/>
          <w:color w:val="000000"/>
        </w:rPr>
        <w:t xml:space="preserve">The majority opinion in </w:t>
      </w:r>
      <w:r w:rsidRPr="00A66BB4">
        <w:rPr>
          <w:rFonts w:cs="Century Schoolbook"/>
          <w:i/>
          <w:color w:val="000000"/>
        </w:rPr>
        <w:t xml:space="preserve">Citizens United </w:t>
      </w:r>
      <w:r w:rsidR="007F7532">
        <w:rPr>
          <w:rFonts w:cs="Century Schoolbook"/>
          <w:color w:val="000000"/>
        </w:rPr>
        <w:t>argued</w:t>
      </w:r>
      <w:r w:rsidRPr="00A66BB4">
        <w:rPr>
          <w:rFonts w:cs="Century Schoolbook"/>
          <w:color w:val="000000"/>
        </w:rPr>
        <w:t xml:space="preserve"> </w:t>
      </w:r>
      <w:r>
        <w:rPr>
          <w:rFonts w:cs="Century Schoolbook"/>
          <w:color w:val="000000"/>
        </w:rPr>
        <w:t>that</w:t>
      </w:r>
      <w:r w:rsidRPr="00A66BB4">
        <w:rPr>
          <w:rFonts w:cs="Century Schoolbook"/>
          <w:color w:val="000000"/>
        </w:rPr>
        <w:t xml:space="preserve"> “</w:t>
      </w:r>
      <w:r w:rsidRPr="00A66BB4">
        <w:rPr>
          <w:color w:val="000000"/>
          <w:shd w:val="clear" w:color="auto" w:fill="FFFFFF"/>
        </w:rPr>
        <w:t>there was no principled way to distinguish between media corporations and other corporations and that the dissent’s theory would allow Congress to suppress political speech in newspapers, on television news programs, in books and on blogs.</w:t>
      </w:r>
      <w:r>
        <w:rPr>
          <w:rFonts w:cs="Century Schoolbook"/>
          <w:color w:val="000000"/>
        </w:rPr>
        <w:t>”</w:t>
      </w:r>
      <w:r>
        <w:rPr>
          <w:rStyle w:val="FootnoteReference"/>
          <w:rFonts w:cs="Century Schoolbook"/>
          <w:color w:val="000000"/>
        </w:rPr>
        <w:footnoteReference w:id="31"/>
      </w:r>
      <w:r w:rsidR="001877F3" w:rsidRPr="001877F3">
        <w:rPr>
          <w:rFonts w:cs="Century Schoolbook"/>
          <w:color w:val="000000"/>
        </w:rPr>
        <w:t xml:space="preserve"> In response, Justice Stevens </w:t>
      </w:r>
      <w:r w:rsidR="001877F3" w:rsidRPr="001877F3">
        <w:rPr>
          <w:color w:val="000000"/>
          <w:shd w:val="clear" w:color="auto" w:fill="FFFFFF"/>
        </w:rPr>
        <w:t>claimed “that people who inv</w:t>
      </w:r>
      <w:r w:rsidR="001877F3">
        <w:rPr>
          <w:color w:val="000000"/>
          <w:shd w:val="clear" w:color="auto" w:fill="FFFFFF"/>
        </w:rPr>
        <w:t>est in media corporations know ‘</w:t>
      </w:r>
      <w:r w:rsidR="001877F3" w:rsidRPr="001877F3">
        <w:rPr>
          <w:color w:val="000000"/>
          <w:shd w:val="clear" w:color="auto" w:fill="FFFFFF"/>
        </w:rPr>
        <w:t>that media outlets m</w:t>
      </w:r>
      <w:r w:rsidR="001877F3">
        <w:rPr>
          <w:color w:val="000000"/>
          <w:shd w:val="clear" w:color="auto" w:fill="FFFFFF"/>
        </w:rPr>
        <w:t>ay seek to influence elections.’</w:t>
      </w:r>
      <w:r w:rsidR="007F7532">
        <w:rPr>
          <w:color w:val="000000"/>
          <w:shd w:val="clear" w:color="auto" w:fill="FFFFFF"/>
        </w:rPr>
        <w:t>”</w:t>
      </w:r>
      <w:r w:rsidR="007F7532" w:rsidRPr="007F7532">
        <w:rPr>
          <w:rStyle w:val="FootnoteReference"/>
          <w:color w:val="000000"/>
          <w:shd w:val="clear" w:color="auto" w:fill="FFFFFF"/>
        </w:rPr>
        <w:t xml:space="preserve"> </w:t>
      </w:r>
      <w:r w:rsidR="007F7532">
        <w:rPr>
          <w:rStyle w:val="FootnoteReference"/>
          <w:color w:val="000000"/>
          <w:shd w:val="clear" w:color="auto" w:fill="FFFFFF"/>
        </w:rPr>
        <w:footnoteReference w:id="32"/>
      </w:r>
      <w:r w:rsidR="007F7532">
        <w:rPr>
          <w:color w:val="000000"/>
          <w:shd w:val="clear" w:color="auto" w:fill="FFFFFF"/>
        </w:rPr>
        <w:t xml:space="preserve"> </w:t>
      </w:r>
      <w:r w:rsidR="001877F3" w:rsidRPr="001877F3">
        <w:rPr>
          <w:color w:val="000000"/>
          <w:shd w:val="clear" w:color="auto" w:fill="FFFFFF"/>
        </w:rPr>
        <w:t xml:space="preserve"> </w:t>
      </w:r>
      <w:r w:rsidR="007F7532">
        <w:rPr>
          <w:color w:val="000000"/>
          <w:shd w:val="clear" w:color="auto" w:fill="FFFFFF"/>
        </w:rPr>
        <w:t>Justice Stevens added that lawmakers may now wish to consider requiring corporations to disclose how they intend to spend shareholders</w:t>
      </w:r>
      <w:r w:rsidR="000F48DC">
        <w:rPr>
          <w:color w:val="000000"/>
          <w:shd w:val="clear" w:color="auto" w:fill="FFFFFF"/>
        </w:rPr>
        <w:t>’</w:t>
      </w:r>
      <w:r w:rsidR="007F7532">
        <w:rPr>
          <w:color w:val="000000"/>
          <w:shd w:val="clear" w:color="auto" w:fill="FFFFFF"/>
        </w:rPr>
        <w:t xml:space="preserve"> money or put the spending to a shareholder vote.</w:t>
      </w:r>
      <w:r w:rsidR="007F7532">
        <w:rPr>
          <w:rStyle w:val="FootnoteReference"/>
          <w:color w:val="000000"/>
          <w:shd w:val="clear" w:color="auto" w:fill="FFFFFF"/>
        </w:rPr>
        <w:footnoteReference w:id="33"/>
      </w:r>
      <w:r w:rsidR="007F7532">
        <w:rPr>
          <w:color w:val="000000"/>
          <w:shd w:val="clear" w:color="auto" w:fill="FFFFFF"/>
        </w:rPr>
        <w:t xml:space="preserve"> </w:t>
      </w:r>
      <w:r w:rsidR="001877F3">
        <w:rPr>
          <w:color w:val="000000"/>
          <w:shd w:val="clear" w:color="auto" w:fill="FFFFFF"/>
        </w:rPr>
        <w:t>The distinction between media and a corporation</w:t>
      </w:r>
      <w:r w:rsidR="007F7532">
        <w:rPr>
          <w:color w:val="000000"/>
          <w:shd w:val="clear" w:color="auto" w:fill="FFFFFF"/>
        </w:rPr>
        <w:t xml:space="preserve"> (</w:t>
      </w:r>
      <w:r w:rsidR="001877F3">
        <w:rPr>
          <w:color w:val="000000"/>
          <w:shd w:val="clear" w:color="auto" w:fill="FFFFFF"/>
        </w:rPr>
        <w:t xml:space="preserve">such as </w:t>
      </w:r>
      <w:r w:rsidR="007F7532">
        <w:rPr>
          <w:color w:val="000000"/>
          <w:shd w:val="clear" w:color="auto" w:fill="FFFFFF"/>
        </w:rPr>
        <w:t xml:space="preserve">BP or Hewlett Packard) </w:t>
      </w:r>
      <w:r w:rsidR="001877F3">
        <w:rPr>
          <w:color w:val="000000"/>
          <w:shd w:val="clear" w:color="auto" w:fill="FFFFFF"/>
        </w:rPr>
        <w:t>is determinable. A reputable media outlet is recognized as such whereas corporations such as BP or Hewlett Packard have no media foundation and can easily be distinguished from a media corporation. If the issue were to arise it could be addressed. The purpose of regulating corporate campaign financing is not to limit speech or any First Amendment righ</w:t>
      </w:r>
      <w:r w:rsidR="007F7532">
        <w:rPr>
          <w:color w:val="000000"/>
          <w:shd w:val="clear" w:color="auto" w:fill="FFFFFF"/>
        </w:rPr>
        <w:t>t. R</w:t>
      </w:r>
      <w:r w:rsidR="001877F3">
        <w:rPr>
          <w:color w:val="000000"/>
          <w:shd w:val="clear" w:color="auto" w:fill="FFFFFF"/>
        </w:rPr>
        <w:t>ather</w:t>
      </w:r>
      <w:r w:rsidR="007F7532">
        <w:rPr>
          <w:color w:val="000000"/>
          <w:shd w:val="clear" w:color="auto" w:fill="FFFFFF"/>
        </w:rPr>
        <w:t xml:space="preserve">, such limitations operate </w:t>
      </w:r>
      <w:r w:rsidR="001877F3">
        <w:rPr>
          <w:color w:val="000000"/>
          <w:shd w:val="clear" w:color="auto" w:fill="FFFFFF"/>
        </w:rPr>
        <w:t>to preserve American ideals and allow power to rest in the hands of the people</w:t>
      </w:r>
      <w:r w:rsidR="007F7532">
        <w:rPr>
          <w:color w:val="000000"/>
          <w:shd w:val="clear" w:color="auto" w:fill="FFFFFF"/>
        </w:rPr>
        <w:t>,</w:t>
      </w:r>
      <w:r w:rsidR="001877F3">
        <w:rPr>
          <w:color w:val="000000"/>
          <w:shd w:val="clear" w:color="auto" w:fill="FFFFFF"/>
        </w:rPr>
        <w:t xml:space="preserve"> as intended by the Constitution. </w:t>
      </w:r>
    </w:p>
    <w:p w:rsidR="0072138D" w:rsidRDefault="00AF7B65" w:rsidP="001877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Century Schoolbook"/>
          <w:color w:val="000000"/>
        </w:rPr>
      </w:pPr>
      <w:r>
        <w:rPr>
          <w:rFonts w:cs="Century Schoolbook"/>
          <w:color w:val="000000"/>
        </w:rPr>
        <w:tab/>
      </w:r>
      <w:r w:rsidR="0072138D">
        <w:rPr>
          <w:rFonts w:cs="Century Schoolbook"/>
          <w:color w:val="000000"/>
        </w:rPr>
        <w:t>In e</w:t>
      </w:r>
      <w:r w:rsidR="00260F3F">
        <w:rPr>
          <w:rFonts w:cs="Century Schoolbook"/>
          <w:color w:val="000000"/>
        </w:rPr>
        <w:t xml:space="preserve">xamining the lasting impact of the </w:t>
      </w:r>
      <w:r w:rsidR="00260F3F" w:rsidRPr="00260F3F">
        <w:rPr>
          <w:rFonts w:cs="Century Schoolbook"/>
          <w:i/>
          <w:color w:val="000000"/>
        </w:rPr>
        <w:t>Citizens United</w:t>
      </w:r>
      <w:r w:rsidR="00260F3F">
        <w:rPr>
          <w:rFonts w:cs="Century Schoolbook"/>
          <w:color w:val="000000"/>
        </w:rPr>
        <w:t xml:space="preserve"> decision</w:t>
      </w:r>
      <w:r w:rsidR="007F7532">
        <w:rPr>
          <w:rFonts w:cs="Century Schoolbook"/>
          <w:color w:val="000000"/>
        </w:rPr>
        <w:t>,</w:t>
      </w:r>
      <w:r w:rsidR="00260F3F">
        <w:rPr>
          <w:rFonts w:cs="Century Schoolbook"/>
          <w:color w:val="000000"/>
        </w:rPr>
        <w:t xml:space="preserve"> it </w:t>
      </w:r>
      <w:r w:rsidR="00A2530C">
        <w:rPr>
          <w:rFonts w:cs="Century Schoolbook"/>
          <w:color w:val="000000"/>
        </w:rPr>
        <w:t xml:space="preserve">becomes apparent why </w:t>
      </w:r>
      <w:r w:rsidR="007F7532">
        <w:rPr>
          <w:rFonts w:cs="Century Schoolbook"/>
          <w:color w:val="000000"/>
        </w:rPr>
        <w:t>it is necessary t</w:t>
      </w:r>
      <w:r w:rsidR="00A2530C">
        <w:rPr>
          <w:rFonts w:cs="Century Schoolbook"/>
          <w:color w:val="000000"/>
        </w:rPr>
        <w:t xml:space="preserve">o limit the use of corporate treasury funds for campaign financing. </w:t>
      </w:r>
      <w:r w:rsidR="0072138D">
        <w:rPr>
          <w:rFonts w:cs="Century Schoolbook"/>
          <w:color w:val="000000"/>
        </w:rPr>
        <w:t>Moreover, limiting those funds</w:t>
      </w:r>
      <w:r w:rsidR="0062061F">
        <w:rPr>
          <w:rFonts w:cs="Century Schoolbook"/>
          <w:color w:val="000000"/>
        </w:rPr>
        <w:t xml:space="preserve"> will not affect the “</w:t>
      </w:r>
      <w:r w:rsidR="00A2530C">
        <w:rPr>
          <w:rFonts w:cs="Century Schoolbook"/>
          <w:color w:val="000000"/>
        </w:rPr>
        <w:t>autonomy, dignity, or political equality</w:t>
      </w:r>
      <w:r w:rsidR="0062061F">
        <w:rPr>
          <w:rFonts w:cs="Century Schoolbook"/>
          <w:color w:val="000000"/>
        </w:rPr>
        <w:t>” of any individual.</w:t>
      </w:r>
      <w:r w:rsidR="00660434">
        <w:rPr>
          <w:rStyle w:val="FootnoteReference"/>
          <w:rFonts w:cs="Century Schoolbook"/>
          <w:color w:val="000000"/>
        </w:rPr>
        <w:footnoteReference w:id="34"/>
      </w:r>
      <w:r w:rsidR="001877F3">
        <w:rPr>
          <w:rFonts w:cs="Century Schoolbook"/>
          <w:color w:val="000000"/>
        </w:rPr>
        <w:t xml:space="preserve"> </w:t>
      </w:r>
      <w:r w:rsidR="0062061F">
        <w:rPr>
          <w:rFonts w:cs="Century Schoolbook"/>
          <w:color w:val="000000"/>
        </w:rPr>
        <w:t xml:space="preserve">Yet, the Court has chosen to address, and reassess, this issue repeatedly in a quarter-century span. Thus, in order to end </w:t>
      </w:r>
      <w:r w:rsidR="0062061F">
        <w:rPr>
          <w:rFonts w:cs="Century Schoolbook"/>
          <w:color w:val="000000"/>
        </w:rPr>
        <w:lastRenderedPageBreak/>
        <w:t xml:space="preserve">the judicial indecisiveness (which is largely predicated upon the political composition of the Court), it has become necessary for Congress </w:t>
      </w:r>
      <w:r w:rsidR="00942CC7">
        <w:rPr>
          <w:rFonts w:cs="Century Schoolbook"/>
          <w:color w:val="000000"/>
        </w:rPr>
        <w:t xml:space="preserve">to pass an amendment to rectify the decision in </w:t>
      </w:r>
      <w:r w:rsidR="00942CC7" w:rsidRPr="00942CC7">
        <w:rPr>
          <w:rFonts w:cs="Century Schoolbook"/>
          <w:i/>
          <w:color w:val="000000"/>
        </w:rPr>
        <w:t>Citizens United</w:t>
      </w:r>
      <w:r w:rsidR="00942CC7">
        <w:rPr>
          <w:rFonts w:cs="Century Schoolbook"/>
          <w:color w:val="000000"/>
        </w:rPr>
        <w:t xml:space="preserve">. </w:t>
      </w:r>
      <w:r w:rsidR="0062061F">
        <w:rPr>
          <w:rFonts w:cs="Century Schoolbook"/>
          <w:color w:val="000000"/>
        </w:rPr>
        <w:t xml:space="preserve">This Amendment should adopt the statutory language of the BCRA and prohibit corporations from airing any </w:t>
      </w:r>
      <w:r w:rsidR="0062061F" w:rsidRPr="0062061F">
        <w:rPr>
          <w:rFonts w:cs="Century Schoolbook"/>
          <w:color w:val="000000"/>
        </w:rPr>
        <w:t>broadcast, c</w:t>
      </w:r>
      <w:r w:rsidR="0062061F">
        <w:rPr>
          <w:rFonts w:cs="Century Schoolbook"/>
          <w:color w:val="000000"/>
        </w:rPr>
        <w:t>able or satellite communication</w:t>
      </w:r>
      <w:r w:rsidR="0062061F" w:rsidRPr="0062061F">
        <w:rPr>
          <w:rFonts w:cs="Century Schoolbook"/>
          <w:color w:val="000000"/>
        </w:rPr>
        <w:t xml:space="preserve"> advocating for or against a candidate running for federal office within 30 days of a primary election</w:t>
      </w:r>
      <w:r w:rsidR="0062061F">
        <w:rPr>
          <w:rFonts w:cs="Century Schoolbook"/>
          <w:color w:val="000000"/>
        </w:rPr>
        <w:t xml:space="preserve">. The Amendment should prohibit corporate treasury funds from being used to pay for any such ads. </w:t>
      </w:r>
    </w:p>
    <w:p w:rsidR="0062061F" w:rsidRDefault="0072138D" w:rsidP="001877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Century Schoolbook"/>
          <w:color w:val="000000"/>
        </w:rPr>
      </w:pPr>
      <w:r>
        <w:rPr>
          <w:rFonts w:cs="Century Schoolbook"/>
          <w:color w:val="000000"/>
        </w:rPr>
        <w:tab/>
      </w:r>
      <w:r>
        <w:rPr>
          <w:rFonts w:cs="Segoe Print"/>
        </w:rPr>
        <w:t xml:space="preserve">The Constitution was created with the intent of protecting the rights of the </w:t>
      </w:r>
      <w:r w:rsidRPr="00B77160">
        <w:rPr>
          <w:rFonts w:cs="Segoe Print"/>
          <w:b/>
          <w:i/>
        </w:rPr>
        <w:t>people</w:t>
      </w:r>
      <w:r>
        <w:rPr>
          <w:rFonts w:cs="Segoe Print"/>
        </w:rPr>
        <w:t>. People who can vote. People who can run for political office</w:t>
      </w:r>
      <w:r w:rsidR="00CA6B25">
        <w:rPr>
          <w:rFonts w:cs="Segoe Print"/>
        </w:rPr>
        <w:t>. People who are endowed with in</w:t>
      </w:r>
      <w:r>
        <w:rPr>
          <w:rFonts w:cs="Segoe Print"/>
        </w:rPr>
        <w:t xml:space="preserve">alienable rights. When the Constitution was drafted, corporate giants, which have evolved over the last century, did not yet exist. The purpose of the Constitution is to protect people from a dominant group translating the political arena of America to serve their own agenda. The core of American democracy is embedded in the people. The people vote to elect their representatives to advance their interests. The people have a voice in the political scheme. </w:t>
      </w:r>
      <w:r w:rsidRPr="00B77160">
        <w:rPr>
          <w:rFonts w:cs="Segoe Print"/>
          <w:i/>
        </w:rPr>
        <w:t>Citizens United</w:t>
      </w:r>
      <w:r>
        <w:rPr>
          <w:rFonts w:cs="Segoe Print"/>
          <w:i/>
        </w:rPr>
        <w:t xml:space="preserve"> </w:t>
      </w:r>
      <w:r>
        <w:rPr>
          <w:rFonts w:cs="Segoe Print"/>
        </w:rPr>
        <w:t xml:space="preserve">abandons the fundamental principles of American democracy and the rights of the people in favor of wealthy corporations. To reverse the harmful effects of </w:t>
      </w:r>
      <w:r w:rsidRPr="003E4E63">
        <w:rPr>
          <w:rFonts w:cs="Segoe Print"/>
          <w:i/>
        </w:rPr>
        <w:t>Citizens United</w:t>
      </w:r>
      <w:r>
        <w:rPr>
          <w:rFonts w:cs="Segoe Print"/>
        </w:rPr>
        <w:t>, it has become necessary for an Amendment to rectify this blemish in American History in order to adhere to the ideals of the Constitution intended by our forefathers.</w:t>
      </w:r>
    </w:p>
    <w:p w:rsidR="00A66BB4" w:rsidRDefault="0062061F" w:rsidP="001877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Century Schoolbook"/>
          <w:color w:val="000000"/>
        </w:rPr>
      </w:pPr>
      <w:r>
        <w:rPr>
          <w:rFonts w:cs="Century Schoolbook"/>
          <w:color w:val="000000"/>
        </w:rPr>
        <w:tab/>
      </w:r>
      <w:r w:rsidR="00942CC7">
        <w:rPr>
          <w:rFonts w:cs="Century Schoolbook"/>
          <w:color w:val="000000"/>
        </w:rPr>
        <w:t>Failing to</w:t>
      </w:r>
      <w:r>
        <w:rPr>
          <w:rFonts w:cs="Century Schoolbook"/>
          <w:color w:val="000000"/>
        </w:rPr>
        <w:t xml:space="preserve"> pass such Amendment (or, otherwise reverse the effects of </w:t>
      </w:r>
      <w:r w:rsidRPr="0062061F">
        <w:rPr>
          <w:rFonts w:cs="Century Schoolbook"/>
          <w:i/>
          <w:color w:val="000000"/>
        </w:rPr>
        <w:t>Citizens United</w:t>
      </w:r>
      <w:r>
        <w:rPr>
          <w:rFonts w:cs="Century Schoolbook"/>
          <w:color w:val="000000"/>
        </w:rPr>
        <w:t>)</w:t>
      </w:r>
      <w:r w:rsidR="00942CC7">
        <w:rPr>
          <w:rFonts w:cs="Century Schoolbook"/>
          <w:color w:val="000000"/>
        </w:rPr>
        <w:t xml:space="preserve"> </w:t>
      </w:r>
      <w:r>
        <w:rPr>
          <w:rFonts w:cs="Century Schoolbook"/>
          <w:color w:val="000000"/>
        </w:rPr>
        <w:t xml:space="preserve">will allow </w:t>
      </w:r>
      <w:r w:rsidR="00942CC7">
        <w:rPr>
          <w:rFonts w:cs="Century Schoolbook"/>
          <w:color w:val="000000"/>
        </w:rPr>
        <w:t xml:space="preserve">corporations to silence the voice of the people. </w:t>
      </w:r>
      <w:r>
        <w:rPr>
          <w:rFonts w:cs="Century Schoolbook"/>
          <w:color w:val="000000"/>
        </w:rPr>
        <w:t>The United States of America</w:t>
      </w:r>
      <w:r w:rsidR="00942CC7">
        <w:rPr>
          <w:rFonts w:cs="Century Schoolbook"/>
          <w:color w:val="000000"/>
        </w:rPr>
        <w:t xml:space="preserve"> was founded on the principles of a representative democracy. If the people have no voice in electing their representatives, we are left with an oligarchy where the power rests in the </w:t>
      </w:r>
      <w:r>
        <w:rPr>
          <w:rFonts w:cs="Century Schoolbook"/>
          <w:color w:val="000000"/>
        </w:rPr>
        <w:t xml:space="preserve">hands of powerful corporations. A Constitutional Amendment, adopting the statutory language ruled unconstitutional by </w:t>
      </w:r>
      <w:r w:rsidRPr="0072138D">
        <w:rPr>
          <w:rFonts w:cs="Century Schoolbook"/>
          <w:i/>
          <w:color w:val="000000"/>
        </w:rPr>
        <w:t>Citizens United</w:t>
      </w:r>
      <w:r>
        <w:rPr>
          <w:rFonts w:cs="Century Schoolbook"/>
          <w:color w:val="000000"/>
        </w:rPr>
        <w:t xml:space="preserve">, </w:t>
      </w:r>
      <w:r w:rsidR="003E4E63">
        <w:rPr>
          <w:rFonts w:cs="Century Schoolbook"/>
          <w:color w:val="000000"/>
        </w:rPr>
        <w:t>will give power back to “We the People,”</w:t>
      </w:r>
      <w:r w:rsidRPr="0062061F">
        <w:rPr>
          <w:rFonts w:cs="Century Schoolbook"/>
          <w:color w:val="000000"/>
        </w:rPr>
        <w:t xml:space="preserve"> whom our Constitution was established</w:t>
      </w:r>
      <w:r w:rsidR="003E4E63">
        <w:rPr>
          <w:rFonts w:cs="Century Schoolbook"/>
          <w:color w:val="000000"/>
        </w:rPr>
        <w:t xml:space="preserve"> to protect. </w:t>
      </w:r>
    </w:p>
    <w:p w:rsidR="00131F8C" w:rsidRPr="00942CC7" w:rsidRDefault="001877F3" w:rsidP="003E4E63">
      <w:pPr>
        <w:autoSpaceDE w:val="0"/>
        <w:autoSpaceDN w:val="0"/>
        <w:adjustRightInd w:val="0"/>
        <w:spacing w:after="0" w:line="480" w:lineRule="auto"/>
        <w:jc w:val="both"/>
        <w:rPr>
          <w:rFonts w:cs="Century Schoolbook"/>
          <w:color w:val="000000"/>
        </w:rPr>
      </w:pPr>
      <w:r>
        <w:rPr>
          <w:rFonts w:cs="Century Schoolbook"/>
          <w:color w:val="000000"/>
        </w:rPr>
        <w:tab/>
      </w:r>
      <w:r w:rsidR="00B77160">
        <w:rPr>
          <w:rFonts w:cs="Segoe Print"/>
        </w:rPr>
        <w:t xml:space="preserve"> </w:t>
      </w:r>
    </w:p>
    <w:p w:rsidR="004D4803" w:rsidRDefault="004D4803" w:rsidP="004D4803">
      <w:pPr>
        <w:pStyle w:val="Default"/>
        <w:spacing w:line="480" w:lineRule="auto"/>
        <w:ind w:firstLine="720"/>
        <w:jc w:val="both"/>
        <w:rPr>
          <w:rFonts w:asciiTheme="minorHAnsi" w:hAnsiTheme="minorHAnsi"/>
          <w:sz w:val="22"/>
          <w:szCs w:val="22"/>
        </w:rPr>
      </w:pPr>
    </w:p>
    <w:p w:rsidR="00D875FC" w:rsidRDefault="00D875FC" w:rsidP="00B73F7E">
      <w:pPr>
        <w:pStyle w:val="Default"/>
        <w:spacing w:line="480" w:lineRule="auto"/>
        <w:ind w:right="1440"/>
        <w:jc w:val="both"/>
        <w:rPr>
          <w:rFonts w:asciiTheme="minorHAnsi" w:hAnsiTheme="minorHAnsi"/>
          <w:sz w:val="22"/>
          <w:szCs w:val="22"/>
        </w:rPr>
      </w:pPr>
    </w:p>
    <w:p w:rsidR="00565666" w:rsidRDefault="00565666" w:rsidP="001F6D55">
      <w:pPr>
        <w:pStyle w:val="Default"/>
        <w:ind w:right="1440"/>
        <w:jc w:val="both"/>
        <w:rPr>
          <w:rFonts w:asciiTheme="minorHAnsi" w:hAnsiTheme="minorHAnsi"/>
          <w:sz w:val="22"/>
          <w:szCs w:val="22"/>
        </w:rPr>
      </w:pPr>
    </w:p>
    <w:sectPr w:rsidR="00565666" w:rsidSect="005231FD">
      <w:head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341" w:rsidRDefault="001E3341" w:rsidP="003D34C4">
      <w:pPr>
        <w:spacing w:after="0" w:line="240" w:lineRule="auto"/>
      </w:pPr>
      <w:r>
        <w:separator/>
      </w:r>
    </w:p>
  </w:endnote>
  <w:endnote w:type="continuationSeparator" w:id="0">
    <w:p w:rsidR="001E3341" w:rsidRDefault="001E3341" w:rsidP="003D3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altName w:val="Century Schoolbook"/>
    <w:panose1 w:val="02040604050505020304"/>
    <w:charset w:val="00"/>
    <w:family w:val="roman"/>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Segoe UI">
    <w:panose1 w:val="020B0502040204020203"/>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341" w:rsidRDefault="001E3341" w:rsidP="003D34C4">
      <w:pPr>
        <w:spacing w:after="0" w:line="240" w:lineRule="auto"/>
      </w:pPr>
      <w:r>
        <w:separator/>
      </w:r>
    </w:p>
  </w:footnote>
  <w:footnote w:type="continuationSeparator" w:id="0">
    <w:p w:rsidR="001E3341" w:rsidRDefault="001E3341" w:rsidP="003D34C4">
      <w:pPr>
        <w:spacing w:after="0" w:line="240" w:lineRule="auto"/>
      </w:pPr>
      <w:r>
        <w:continuationSeparator/>
      </w:r>
    </w:p>
  </w:footnote>
  <w:footnote w:id="1">
    <w:p w:rsidR="00B87ACF" w:rsidRPr="00ED351A" w:rsidRDefault="00B87ACF">
      <w:pPr>
        <w:pStyle w:val="FootnoteText"/>
        <w:rPr>
          <w:sz w:val="18"/>
          <w:szCs w:val="18"/>
        </w:rPr>
      </w:pPr>
      <w:r w:rsidRPr="00ED351A">
        <w:rPr>
          <w:rStyle w:val="FootnoteReference"/>
          <w:sz w:val="18"/>
          <w:szCs w:val="18"/>
        </w:rPr>
        <w:footnoteRef/>
      </w:r>
      <w:r w:rsidRPr="00ED351A">
        <w:rPr>
          <w:sz w:val="18"/>
          <w:szCs w:val="18"/>
        </w:rPr>
        <w:t xml:space="preserve"> </w:t>
      </w:r>
      <w:r w:rsidRPr="00ED351A">
        <w:rPr>
          <w:i/>
          <w:sz w:val="18"/>
          <w:szCs w:val="18"/>
        </w:rPr>
        <w:t>Citizens United v. Federal Elections Commission</w:t>
      </w:r>
      <w:r w:rsidRPr="00ED351A">
        <w:rPr>
          <w:sz w:val="18"/>
          <w:szCs w:val="18"/>
        </w:rPr>
        <w:t xml:space="preserve">, 558 U.S. </w:t>
      </w:r>
      <w:r w:rsidR="00B66241" w:rsidRPr="00ED351A">
        <w:rPr>
          <w:sz w:val="18"/>
          <w:szCs w:val="18"/>
        </w:rPr>
        <w:t xml:space="preserve">310, </w:t>
      </w:r>
      <w:r w:rsidRPr="00ED351A">
        <w:rPr>
          <w:sz w:val="18"/>
          <w:szCs w:val="18"/>
        </w:rPr>
        <w:t>31</w:t>
      </w:r>
      <w:r w:rsidR="00CA6B25" w:rsidRPr="00ED351A">
        <w:rPr>
          <w:sz w:val="18"/>
          <w:szCs w:val="18"/>
        </w:rPr>
        <w:t>8-19</w:t>
      </w:r>
      <w:r w:rsidRPr="00ED351A">
        <w:rPr>
          <w:sz w:val="18"/>
          <w:szCs w:val="18"/>
        </w:rPr>
        <w:t xml:space="preserve"> (2010).</w:t>
      </w:r>
    </w:p>
  </w:footnote>
  <w:footnote w:id="2">
    <w:p w:rsidR="00B87ACF" w:rsidRPr="00ED351A" w:rsidRDefault="00B87ACF">
      <w:pPr>
        <w:pStyle w:val="FootnoteText"/>
        <w:rPr>
          <w:sz w:val="18"/>
          <w:szCs w:val="18"/>
        </w:rPr>
      </w:pPr>
      <w:r w:rsidRPr="00ED351A">
        <w:rPr>
          <w:rStyle w:val="FootnoteReference"/>
          <w:sz w:val="18"/>
          <w:szCs w:val="18"/>
        </w:rPr>
        <w:footnoteRef/>
      </w:r>
      <w:r w:rsidRPr="00ED351A">
        <w:rPr>
          <w:sz w:val="18"/>
          <w:szCs w:val="18"/>
        </w:rPr>
        <w:t xml:space="preserve"> </w:t>
      </w:r>
      <w:r w:rsidRPr="00ED351A">
        <w:rPr>
          <w:i/>
          <w:sz w:val="18"/>
          <w:szCs w:val="18"/>
        </w:rPr>
        <w:t>Id</w:t>
      </w:r>
      <w:r w:rsidR="00CA6B25" w:rsidRPr="00ED351A">
        <w:rPr>
          <w:sz w:val="18"/>
          <w:szCs w:val="18"/>
        </w:rPr>
        <w:t xml:space="preserve"> at 319. </w:t>
      </w:r>
    </w:p>
  </w:footnote>
  <w:footnote w:id="3">
    <w:p w:rsidR="00B87ACF" w:rsidRPr="00ED351A" w:rsidRDefault="00B87ACF" w:rsidP="00EC23AF">
      <w:pPr>
        <w:pStyle w:val="NoSpacing"/>
        <w:rPr>
          <w:sz w:val="18"/>
          <w:szCs w:val="18"/>
        </w:rPr>
      </w:pPr>
      <w:r w:rsidRPr="00ED351A">
        <w:rPr>
          <w:rStyle w:val="FootnoteReference"/>
          <w:sz w:val="18"/>
          <w:szCs w:val="18"/>
        </w:rPr>
        <w:footnoteRef/>
      </w:r>
      <w:r w:rsidRPr="00ED351A">
        <w:rPr>
          <w:sz w:val="18"/>
          <w:szCs w:val="18"/>
        </w:rPr>
        <w:t xml:space="preserve"> </w:t>
      </w:r>
      <w:r w:rsidRPr="00ED351A">
        <w:rPr>
          <w:i/>
          <w:sz w:val="18"/>
          <w:szCs w:val="18"/>
        </w:rPr>
        <w:t>Id</w:t>
      </w:r>
      <w:r w:rsidRPr="00ED351A">
        <w:rPr>
          <w:sz w:val="18"/>
          <w:szCs w:val="18"/>
        </w:rPr>
        <w:t>. at 3</w:t>
      </w:r>
      <w:r w:rsidR="00CA6B25" w:rsidRPr="00ED351A">
        <w:rPr>
          <w:sz w:val="18"/>
          <w:szCs w:val="18"/>
        </w:rPr>
        <w:t>11</w:t>
      </w:r>
      <w:r w:rsidRPr="00ED351A">
        <w:rPr>
          <w:sz w:val="18"/>
          <w:szCs w:val="18"/>
        </w:rPr>
        <w:t xml:space="preserve">. </w:t>
      </w:r>
    </w:p>
  </w:footnote>
  <w:footnote w:id="4">
    <w:p w:rsidR="00B87ACF" w:rsidRPr="00ED351A" w:rsidRDefault="00B87ACF">
      <w:pPr>
        <w:pStyle w:val="FootnoteText"/>
        <w:rPr>
          <w:sz w:val="18"/>
          <w:szCs w:val="18"/>
        </w:rPr>
      </w:pPr>
      <w:r w:rsidRPr="00ED351A">
        <w:rPr>
          <w:rStyle w:val="FootnoteReference"/>
          <w:sz w:val="18"/>
          <w:szCs w:val="18"/>
        </w:rPr>
        <w:footnoteRef/>
      </w:r>
      <w:r w:rsidRPr="00ED351A">
        <w:rPr>
          <w:sz w:val="18"/>
          <w:szCs w:val="18"/>
        </w:rPr>
        <w:t xml:space="preserve"> </w:t>
      </w:r>
      <w:r w:rsidRPr="00ED351A">
        <w:rPr>
          <w:i/>
          <w:sz w:val="18"/>
          <w:szCs w:val="18"/>
        </w:rPr>
        <w:t>Austin</w:t>
      </w:r>
      <w:r w:rsidRPr="00ED351A">
        <w:rPr>
          <w:sz w:val="18"/>
          <w:szCs w:val="18"/>
        </w:rPr>
        <w:t xml:space="preserve"> and </w:t>
      </w:r>
      <w:r w:rsidRPr="00ED351A">
        <w:rPr>
          <w:i/>
          <w:sz w:val="18"/>
          <w:szCs w:val="18"/>
        </w:rPr>
        <w:t>McConnell</w:t>
      </w:r>
      <w:r w:rsidRPr="00ED351A">
        <w:rPr>
          <w:sz w:val="18"/>
          <w:szCs w:val="18"/>
        </w:rPr>
        <w:t xml:space="preserve"> unambiguously established </w:t>
      </w:r>
      <w:r w:rsidR="000F48DC">
        <w:rPr>
          <w:sz w:val="18"/>
          <w:szCs w:val="18"/>
        </w:rPr>
        <w:t>that</w:t>
      </w:r>
      <w:r w:rsidRPr="00ED351A">
        <w:rPr>
          <w:sz w:val="18"/>
          <w:szCs w:val="18"/>
        </w:rPr>
        <w:t xml:space="preserve"> restriction</w:t>
      </w:r>
      <w:r w:rsidR="00BB52B4">
        <w:rPr>
          <w:sz w:val="18"/>
          <w:szCs w:val="18"/>
        </w:rPr>
        <w:t xml:space="preserve"> on corporate expenditures for </w:t>
      </w:r>
      <w:r w:rsidRPr="00ED351A">
        <w:rPr>
          <w:sz w:val="18"/>
          <w:szCs w:val="18"/>
        </w:rPr>
        <w:t xml:space="preserve">electioneering communications was not a violation of the First Amendment or any other constitutional provision. </w:t>
      </w:r>
    </w:p>
  </w:footnote>
  <w:footnote w:id="5">
    <w:p w:rsidR="00B87ACF" w:rsidRPr="00ED351A" w:rsidRDefault="00B87ACF" w:rsidP="00EC23AF">
      <w:pPr>
        <w:pStyle w:val="NoSpacing"/>
        <w:rPr>
          <w:rFonts w:cs="Segoe Print"/>
          <w:sz w:val="18"/>
          <w:szCs w:val="18"/>
        </w:rPr>
      </w:pPr>
      <w:r w:rsidRPr="00ED351A">
        <w:rPr>
          <w:rStyle w:val="FootnoteReference"/>
          <w:sz w:val="18"/>
          <w:szCs w:val="18"/>
        </w:rPr>
        <w:footnoteRef/>
      </w:r>
      <w:r w:rsidRPr="00ED351A">
        <w:rPr>
          <w:sz w:val="18"/>
          <w:szCs w:val="18"/>
        </w:rPr>
        <w:t xml:space="preserve"> </w:t>
      </w:r>
      <w:r w:rsidRPr="00ED351A">
        <w:rPr>
          <w:rFonts w:cs="Segoe Print"/>
          <w:sz w:val="18"/>
          <w:szCs w:val="18"/>
        </w:rPr>
        <w:t xml:space="preserve">Jeffrey Toobin, </w:t>
      </w:r>
      <w:r w:rsidRPr="00ED351A">
        <w:rPr>
          <w:rFonts w:cs="Segoe Print"/>
          <w:i/>
          <w:sz w:val="18"/>
          <w:szCs w:val="18"/>
        </w:rPr>
        <w:t>Annals of Law: Money Unlimited</w:t>
      </w:r>
      <w:r w:rsidRPr="00ED351A">
        <w:rPr>
          <w:rFonts w:cs="Segoe Print"/>
          <w:sz w:val="18"/>
          <w:szCs w:val="18"/>
        </w:rPr>
        <w:t xml:space="preserve">, The New Yorker, May 21, 2012, </w:t>
      </w:r>
      <w:hyperlink r:id="rId1" w:history="1">
        <w:r w:rsidRPr="00ED351A">
          <w:rPr>
            <w:rStyle w:val="Hyperlink"/>
            <w:rFonts w:cs="Segoe Print"/>
            <w:sz w:val="18"/>
            <w:szCs w:val="18"/>
          </w:rPr>
          <w:t>http://www.newyorker.com/magazine/2012/05/21/money-unlimited</w:t>
        </w:r>
      </w:hyperlink>
      <w:r w:rsidR="005231FD">
        <w:rPr>
          <w:rFonts w:cs="Segoe Print"/>
          <w:sz w:val="18"/>
          <w:szCs w:val="18"/>
        </w:rPr>
        <w:t xml:space="preserve"> [last accessed 7/30/2015].</w:t>
      </w:r>
    </w:p>
  </w:footnote>
  <w:footnote w:id="6">
    <w:p w:rsidR="00B87ACF" w:rsidRPr="00ED351A" w:rsidRDefault="00B87ACF" w:rsidP="00EC23AF">
      <w:pPr>
        <w:pStyle w:val="NoSpacing"/>
        <w:rPr>
          <w:sz w:val="18"/>
          <w:szCs w:val="18"/>
        </w:rPr>
      </w:pPr>
      <w:r w:rsidRPr="00ED351A">
        <w:rPr>
          <w:rStyle w:val="FootnoteReference"/>
          <w:sz w:val="18"/>
          <w:szCs w:val="18"/>
        </w:rPr>
        <w:footnoteRef/>
      </w:r>
      <w:r w:rsidRPr="00ED351A">
        <w:rPr>
          <w:sz w:val="18"/>
          <w:szCs w:val="18"/>
        </w:rPr>
        <w:t xml:space="preserve"> </w:t>
      </w:r>
      <w:r w:rsidRPr="00ED351A">
        <w:rPr>
          <w:i/>
          <w:sz w:val="18"/>
          <w:szCs w:val="18"/>
        </w:rPr>
        <w:t>Id</w:t>
      </w:r>
      <w:r w:rsidRPr="00ED351A">
        <w:rPr>
          <w:sz w:val="18"/>
          <w:szCs w:val="18"/>
        </w:rPr>
        <w:t xml:space="preserve">. </w:t>
      </w:r>
    </w:p>
  </w:footnote>
  <w:footnote w:id="7">
    <w:p w:rsidR="00B87ACF" w:rsidRPr="00ED351A" w:rsidRDefault="00B87ACF">
      <w:pPr>
        <w:pStyle w:val="FootnoteText"/>
        <w:rPr>
          <w:sz w:val="18"/>
          <w:szCs w:val="18"/>
        </w:rPr>
      </w:pPr>
      <w:r w:rsidRPr="00ED351A">
        <w:rPr>
          <w:rStyle w:val="FootnoteReference"/>
          <w:sz w:val="18"/>
          <w:szCs w:val="18"/>
        </w:rPr>
        <w:footnoteRef/>
      </w:r>
      <w:r w:rsidRPr="00ED351A">
        <w:rPr>
          <w:sz w:val="18"/>
          <w:szCs w:val="18"/>
        </w:rPr>
        <w:t xml:space="preserve"> </w:t>
      </w:r>
      <w:r w:rsidRPr="00ED351A">
        <w:rPr>
          <w:rFonts w:cs="Segoe Print"/>
          <w:sz w:val="18"/>
          <w:szCs w:val="18"/>
        </w:rPr>
        <w:t>Margaret L. Moses</w:t>
      </w:r>
      <w:r w:rsidRPr="005231FD">
        <w:rPr>
          <w:rFonts w:cs="Segoe Print"/>
          <w:i/>
          <w:sz w:val="18"/>
          <w:szCs w:val="18"/>
        </w:rPr>
        <w:t>, Beyond Judicial Activism: When the Supreme Court Is No Longer a Court</w:t>
      </w:r>
      <w:r w:rsidRPr="00ED351A">
        <w:rPr>
          <w:rFonts w:cs="Segoe Print"/>
          <w:sz w:val="18"/>
          <w:szCs w:val="18"/>
        </w:rPr>
        <w:t>, 14 U. Pa. J. Const. L. 161 (2011)</w:t>
      </w:r>
      <w:r w:rsidR="005231FD">
        <w:rPr>
          <w:rFonts w:cs="Segoe Print"/>
          <w:sz w:val="18"/>
          <w:szCs w:val="18"/>
        </w:rPr>
        <w:t>.</w:t>
      </w:r>
    </w:p>
  </w:footnote>
  <w:footnote w:id="8">
    <w:p w:rsidR="00B87ACF" w:rsidRPr="00ED351A" w:rsidRDefault="00B87ACF">
      <w:pPr>
        <w:pStyle w:val="FootnoteText"/>
        <w:rPr>
          <w:sz w:val="18"/>
          <w:szCs w:val="18"/>
        </w:rPr>
      </w:pPr>
      <w:r w:rsidRPr="00ED351A">
        <w:rPr>
          <w:rStyle w:val="FootnoteReference"/>
          <w:sz w:val="18"/>
          <w:szCs w:val="18"/>
        </w:rPr>
        <w:footnoteRef/>
      </w:r>
      <w:r w:rsidRPr="00ED351A">
        <w:rPr>
          <w:sz w:val="18"/>
          <w:szCs w:val="18"/>
        </w:rPr>
        <w:t xml:space="preserve"> </w:t>
      </w:r>
      <w:r w:rsidRPr="00ED351A">
        <w:rPr>
          <w:i/>
          <w:sz w:val="18"/>
          <w:szCs w:val="18"/>
        </w:rPr>
        <w:t>Citizens United</w:t>
      </w:r>
      <w:r w:rsidRPr="00ED351A">
        <w:rPr>
          <w:sz w:val="18"/>
          <w:szCs w:val="18"/>
        </w:rPr>
        <w:t xml:space="preserve">, 558 U. S. </w:t>
      </w:r>
      <w:r w:rsidR="00CA6B25" w:rsidRPr="00ED351A">
        <w:rPr>
          <w:sz w:val="18"/>
          <w:szCs w:val="18"/>
        </w:rPr>
        <w:t>at 479</w:t>
      </w:r>
      <w:r w:rsidRPr="00ED351A">
        <w:rPr>
          <w:sz w:val="18"/>
          <w:szCs w:val="18"/>
        </w:rPr>
        <w:t>, Stevens, J., dissenting (emphasis added).</w:t>
      </w:r>
    </w:p>
  </w:footnote>
  <w:footnote w:id="9">
    <w:p w:rsidR="00B87ACF" w:rsidRPr="00ED351A" w:rsidRDefault="00B87ACF" w:rsidP="00957D20">
      <w:pPr>
        <w:pStyle w:val="FootnoteText"/>
        <w:rPr>
          <w:sz w:val="18"/>
          <w:szCs w:val="18"/>
        </w:rPr>
      </w:pPr>
      <w:r w:rsidRPr="00ED351A">
        <w:rPr>
          <w:rStyle w:val="FootnoteReference"/>
          <w:sz w:val="18"/>
          <w:szCs w:val="18"/>
        </w:rPr>
        <w:footnoteRef/>
      </w:r>
      <w:r w:rsidRPr="00ED351A">
        <w:rPr>
          <w:sz w:val="18"/>
          <w:szCs w:val="18"/>
        </w:rPr>
        <w:t xml:space="preserve"> </w:t>
      </w:r>
      <w:r w:rsidRPr="00ED351A">
        <w:rPr>
          <w:rFonts w:cs="Segoe Print"/>
          <w:sz w:val="18"/>
          <w:szCs w:val="18"/>
        </w:rPr>
        <w:t xml:space="preserve">Margaret L. Moses, </w:t>
      </w:r>
      <w:r w:rsidRPr="00ED351A">
        <w:rPr>
          <w:rFonts w:cs="Segoe Print"/>
          <w:i/>
          <w:sz w:val="18"/>
          <w:szCs w:val="18"/>
        </w:rPr>
        <w:t>Beyond Judicial Activism: When the Supreme Court Is No Longer a Court</w:t>
      </w:r>
      <w:r w:rsidRPr="00ED351A">
        <w:rPr>
          <w:rFonts w:cs="Segoe Print"/>
          <w:sz w:val="18"/>
          <w:szCs w:val="18"/>
        </w:rPr>
        <w:t>, 14 U. Pa. J. Const. L. 161 (2011)</w:t>
      </w:r>
      <w:r w:rsidR="005231FD">
        <w:rPr>
          <w:rFonts w:cs="Segoe Print"/>
          <w:sz w:val="18"/>
          <w:szCs w:val="18"/>
        </w:rPr>
        <w:t>.</w:t>
      </w:r>
    </w:p>
  </w:footnote>
  <w:footnote w:id="10">
    <w:p w:rsidR="00B87ACF" w:rsidRPr="00ED351A" w:rsidRDefault="00B87ACF">
      <w:pPr>
        <w:pStyle w:val="FootnoteText"/>
        <w:rPr>
          <w:sz w:val="18"/>
          <w:szCs w:val="18"/>
        </w:rPr>
      </w:pPr>
      <w:r w:rsidRPr="00ED351A">
        <w:rPr>
          <w:rStyle w:val="FootnoteReference"/>
          <w:sz w:val="18"/>
          <w:szCs w:val="18"/>
        </w:rPr>
        <w:footnoteRef/>
      </w:r>
      <w:r w:rsidRPr="00ED351A">
        <w:rPr>
          <w:sz w:val="18"/>
          <w:szCs w:val="18"/>
        </w:rPr>
        <w:t xml:space="preserve"> </w:t>
      </w:r>
      <w:r w:rsidRPr="00ED351A">
        <w:rPr>
          <w:i/>
          <w:sz w:val="18"/>
          <w:szCs w:val="18"/>
        </w:rPr>
        <w:t>Id</w:t>
      </w:r>
      <w:r w:rsidRPr="00ED351A">
        <w:rPr>
          <w:sz w:val="18"/>
          <w:szCs w:val="18"/>
        </w:rPr>
        <w:t xml:space="preserve">. </w:t>
      </w:r>
    </w:p>
  </w:footnote>
  <w:footnote w:id="11">
    <w:p w:rsidR="00B87ACF" w:rsidRPr="00ED351A" w:rsidRDefault="00B87ACF">
      <w:pPr>
        <w:pStyle w:val="FootnoteText"/>
        <w:rPr>
          <w:sz w:val="18"/>
          <w:szCs w:val="18"/>
        </w:rPr>
      </w:pPr>
      <w:r w:rsidRPr="00ED351A">
        <w:rPr>
          <w:rStyle w:val="FootnoteReference"/>
          <w:sz w:val="18"/>
          <w:szCs w:val="18"/>
        </w:rPr>
        <w:footnoteRef/>
      </w:r>
      <w:r w:rsidRPr="00ED351A">
        <w:rPr>
          <w:sz w:val="18"/>
          <w:szCs w:val="18"/>
        </w:rPr>
        <w:t xml:space="preserve"> </w:t>
      </w:r>
      <w:r w:rsidRPr="00ED351A">
        <w:rPr>
          <w:i/>
          <w:sz w:val="18"/>
          <w:szCs w:val="18"/>
        </w:rPr>
        <w:t>Citizens United</w:t>
      </w:r>
      <w:r w:rsidRPr="00ED351A">
        <w:rPr>
          <w:sz w:val="18"/>
          <w:szCs w:val="18"/>
        </w:rPr>
        <w:t xml:space="preserve">, </w:t>
      </w:r>
      <w:r w:rsidR="00CA6B25" w:rsidRPr="00ED351A">
        <w:rPr>
          <w:sz w:val="18"/>
          <w:szCs w:val="18"/>
        </w:rPr>
        <w:t>558 U. S. at 394</w:t>
      </w:r>
      <w:r w:rsidRPr="00ED351A">
        <w:rPr>
          <w:sz w:val="18"/>
          <w:szCs w:val="18"/>
        </w:rPr>
        <w:t>, Stevens, J., dissenting.</w:t>
      </w:r>
    </w:p>
  </w:footnote>
  <w:footnote w:id="12">
    <w:p w:rsidR="00B87ACF" w:rsidRPr="00ED351A" w:rsidRDefault="00B87ACF">
      <w:pPr>
        <w:pStyle w:val="FootnoteText"/>
        <w:rPr>
          <w:sz w:val="18"/>
          <w:szCs w:val="18"/>
        </w:rPr>
      </w:pPr>
      <w:r w:rsidRPr="00ED351A">
        <w:rPr>
          <w:rStyle w:val="FootnoteReference"/>
          <w:sz w:val="18"/>
          <w:szCs w:val="18"/>
        </w:rPr>
        <w:footnoteRef/>
      </w:r>
      <w:r w:rsidR="00CA6B25" w:rsidRPr="00ED351A">
        <w:rPr>
          <w:sz w:val="18"/>
          <w:szCs w:val="18"/>
        </w:rPr>
        <w:t xml:space="preserve"> </w:t>
      </w:r>
      <w:r w:rsidR="00CA6B25" w:rsidRPr="00ED351A">
        <w:rPr>
          <w:i/>
          <w:sz w:val="18"/>
          <w:szCs w:val="18"/>
        </w:rPr>
        <w:t>Id</w:t>
      </w:r>
      <w:r w:rsidR="00CA6B25" w:rsidRPr="00ED351A">
        <w:rPr>
          <w:sz w:val="18"/>
          <w:szCs w:val="18"/>
        </w:rPr>
        <w:t>. at 466</w:t>
      </w:r>
      <w:r w:rsidRPr="00ED351A">
        <w:rPr>
          <w:sz w:val="18"/>
          <w:szCs w:val="18"/>
        </w:rPr>
        <w:t>.</w:t>
      </w:r>
    </w:p>
  </w:footnote>
  <w:footnote w:id="13">
    <w:p w:rsidR="00B87ACF" w:rsidRPr="00ED351A" w:rsidRDefault="00B87ACF">
      <w:pPr>
        <w:pStyle w:val="FootnoteText"/>
        <w:rPr>
          <w:rFonts w:cs="Segoe Print"/>
          <w:sz w:val="18"/>
          <w:szCs w:val="18"/>
        </w:rPr>
      </w:pPr>
      <w:r w:rsidRPr="00ED351A">
        <w:rPr>
          <w:rStyle w:val="FootnoteReference"/>
          <w:sz w:val="18"/>
          <w:szCs w:val="18"/>
        </w:rPr>
        <w:footnoteRef/>
      </w:r>
      <w:r w:rsidRPr="00ED351A">
        <w:rPr>
          <w:sz w:val="18"/>
          <w:szCs w:val="18"/>
        </w:rPr>
        <w:t xml:space="preserve"> </w:t>
      </w:r>
      <w:r w:rsidRPr="00ED351A">
        <w:rPr>
          <w:rFonts w:cs="Segoe Print"/>
          <w:sz w:val="18"/>
          <w:szCs w:val="18"/>
        </w:rPr>
        <w:t xml:space="preserve">Jeffrey Toobin, </w:t>
      </w:r>
      <w:r w:rsidRPr="00ED351A">
        <w:rPr>
          <w:rFonts w:cs="Segoe Print"/>
          <w:i/>
          <w:sz w:val="18"/>
          <w:szCs w:val="18"/>
        </w:rPr>
        <w:t>Annals of Law: Money Unlimited</w:t>
      </w:r>
      <w:r w:rsidRPr="00ED351A">
        <w:rPr>
          <w:rFonts w:cs="Segoe Print"/>
          <w:sz w:val="18"/>
          <w:szCs w:val="18"/>
        </w:rPr>
        <w:t xml:space="preserve">, The New Yorker, May 21, 2012, </w:t>
      </w:r>
      <w:hyperlink r:id="rId2" w:history="1">
        <w:r w:rsidRPr="00ED351A">
          <w:rPr>
            <w:rStyle w:val="Hyperlink"/>
            <w:rFonts w:cs="Segoe Print"/>
            <w:sz w:val="18"/>
            <w:szCs w:val="18"/>
          </w:rPr>
          <w:t>http://www.newyorker.com/magazine/2012/05/21/money-unlimited</w:t>
        </w:r>
      </w:hyperlink>
      <w:r w:rsidR="005231FD">
        <w:rPr>
          <w:rFonts w:cs="Segoe Print"/>
          <w:sz w:val="18"/>
          <w:szCs w:val="18"/>
        </w:rPr>
        <w:t xml:space="preserve"> [last accessed 7/30/2015].</w:t>
      </w:r>
    </w:p>
  </w:footnote>
  <w:footnote w:id="14">
    <w:p w:rsidR="00B87ACF" w:rsidRPr="00ED351A" w:rsidRDefault="00B87ACF">
      <w:pPr>
        <w:pStyle w:val="FootnoteText"/>
        <w:rPr>
          <w:sz w:val="18"/>
          <w:szCs w:val="18"/>
        </w:rPr>
      </w:pPr>
      <w:r w:rsidRPr="00ED351A">
        <w:rPr>
          <w:rStyle w:val="FootnoteReference"/>
          <w:sz w:val="18"/>
          <w:szCs w:val="18"/>
        </w:rPr>
        <w:footnoteRef/>
      </w:r>
      <w:r w:rsidRPr="00ED351A">
        <w:rPr>
          <w:sz w:val="18"/>
          <w:szCs w:val="18"/>
        </w:rPr>
        <w:t xml:space="preserve"> </w:t>
      </w:r>
      <w:r w:rsidRPr="00ED351A">
        <w:rPr>
          <w:i/>
          <w:sz w:val="18"/>
          <w:szCs w:val="18"/>
        </w:rPr>
        <w:t>Citizens United</w:t>
      </w:r>
      <w:r w:rsidRPr="00ED351A">
        <w:rPr>
          <w:sz w:val="18"/>
          <w:szCs w:val="18"/>
        </w:rPr>
        <w:t xml:space="preserve">, </w:t>
      </w:r>
      <w:r w:rsidR="00CA6B25" w:rsidRPr="00ED351A">
        <w:rPr>
          <w:sz w:val="18"/>
          <w:szCs w:val="18"/>
        </w:rPr>
        <w:t>558 U. S. at 425</w:t>
      </w:r>
      <w:r w:rsidRPr="00ED351A">
        <w:rPr>
          <w:sz w:val="18"/>
          <w:szCs w:val="18"/>
        </w:rPr>
        <w:t>, Stevens, J., dissenting.</w:t>
      </w:r>
    </w:p>
  </w:footnote>
  <w:footnote w:id="15">
    <w:p w:rsidR="00B87ACF" w:rsidRPr="00ED351A" w:rsidRDefault="00B87ACF" w:rsidP="00FD319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18"/>
          <w:szCs w:val="18"/>
          <w:lang w:val="en"/>
        </w:rPr>
      </w:pPr>
      <w:r w:rsidRPr="00ED351A">
        <w:rPr>
          <w:rStyle w:val="FootnoteReference"/>
          <w:sz w:val="18"/>
          <w:szCs w:val="18"/>
        </w:rPr>
        <w:footnoteRef/>
      </w:r>
      <w:r w:rsidRPr="00ED351A">
        <w:rPr>
          <w:sz w:val="18"/>
          <w:szCs w:val="18"/>
        </w:rPr>
        <w:t xml:space="preserve"> </w:t>
      </w:r>
      <w:r w:rsidRPr="00ED351A">
        <w:rPr>
          <w:rFonts w:cs="Segoe Print"/>
          <w:sz w:val="18"/>
          <w:szCs w:val="18"/>
        </w:rPr>
        <w:t xml:space="preserve">Esther Houseman, Note, </w:t>
      </w:r>
      <w:r w:rsidRPr="005231FD">
        <w:rPr>
          <w:rFonts w:cs="Segoe Print"/>
          <w:i/>
          <w:sz w:val="18"/>
          <w:szCs w:val="18"/>
        </w:rPr>
        <w:t>Citizens United v. FEC: Departure from Precedent Opens the Gate to “Phantom” Political Speakers</w:t>
      </w:r>
      <w:r w:rsidRPr="00ED351A">
        <w:rPr>
          <w:rFonts w:cs="Segoe Print"/>
          <w:sz w:val="18"/>
          <w:szCs w:val="18"/>
        </w:rPr>
        <w:t xml:space="preserve">, 70 Md. L. Rev. Endnotes 50, (2011). </w:t>
      </w:r>
    </w:p>
  </w:footnote>
  <w:footnote w:id="16">
    <w:p w:rsidR="00B87ACF" w:rsidRPr="00ED351A" w:rsidRDefault="00B87ACF">
      <w:pPr>
        <w:pStyle w:val="FootnoteText"/>
        <w:rPr>
          <w:sz w:val="18"/>
          <w:szCs w:val="18"/>
        </w:rPr>
      </w:pPr>
      <w:r w:rsidRPr="00ED351A">
        <w:rPr>
          <w:rStyle w:val="FootnoteReference"/>
          <w:sz w:val="18"/>
          <w:szCs w:val="18"/>
        </w:rPr>
        <w:footnoteRef/>
      </w:r>
      <w:r w:rsidRPr="00ED351A">
        <w:rPr>
          <w:sz w:val="18"/>
          <w:szCs w:val="18"/>
        </w:rPr>
        <w:t xml:space="preserve"> </w:t>
      </w:r>
      <w:r w:rsidRPr="00ED351A">
        <w:rPr>
          <w:i/>
          <w:sz w:val="18"/>
          <w:szCs w:val="18"/>
        </w:rPr>
        <w:t>Stare decisis</w:t>
      </w:r>
      <w:r w:rsidRPr="00ED351A">
        <w:rPr>
          <w:sz w:val="18"/>
          <w:szCs w:val="18"/>
        </w:rPr>
        <w:t xml:space="preserve"> is the term used to refer to</w:t>
      </w:r>
      <w:r w:rsidR="000F48DC">
        <w:rPr>
          <w:sz w:val="18"/>
          <w:szCs w:val="18"/>
        </w:rPr>
        <w:t xml:space="preserve"> the fundamental legal principle</w:t>
      </w:r>
      <w:r w:rsidRPr="00ED351A">
        <w:rPr>
          <w:sz w:val="18"/>
          <w:szCs w:val="18"/>
        </w:rPr>
        <w:t xml:space="preserve"> that a court must follow earlier judicial decisions when the same issue arises again in litigation. </w:t>
      </w:r>
      <w:r w:rsidRPr="00ED351A">
        <w:rPr>
          <w:rStyle w:val="Emphasis"/>
          <w:sz w:val="18"/>
          <w:szCs w:val="18"/>
          <w:shd w:val="clear" w:color="auto" w:fill="FFFFFF"/>
        </w:rPr>
        <w:t>Black’s Law Dictionary</w:t>
      </w:r>
      <w:r w:rsidRPr="00ED351A">
        <w:rPr>
          <w:sz w:val="18"/>
          <w:szCs w:val="18"/>
          <w:shd w:val="clear" w:color="auto" w:fill="FFFFFF"/>
        </w:rPr>
        <w:t xml:space="preserve"> (9th ed. 2009).</w:t>
      </w:r>
    </w:p>
  </w:footnote>
  <w:footnote w:id="17">
    <w:p w:rsidR="00B87ACF" w:rsidRPr="00ED351A" w:rsidRDefault="00B87ACF">
      <w:pPr>
        <w:pStyle w:val="FootnoteText"/>
        <w:rPr>
          <w:sz w:val="18"/>
          <w:szCs w:val="18"/>
        </w:rPr>
      </w:pPr>
      <w:r w:rsidRPr="00ED351A">
        <w:rPr>
          <w:rStyle w:val="FootnoteReference"/>
          <w:sz w:val="18"/>
          <w:szCs w:val="18"/>
        </w:rPr>
        <w:footnoteRef/>
      </w:r>
      <w:r w:rsidRPr="00ED351A">
        <w:rPr>
          <w:sz w:val="18"/>
          <w:szCs w:val="18"/>
        </w:rPr>
        <w:t xml:space="preserve"> </w:t>
      </w:r>
      <w:r w:rsidRPr="00ED351A">
        <w:rPr>
          <w:i/>
          <w:sz w:val="18"/>
          <w:szCs w:val="18"/>
        </w:rPr>
        <w:t>Citizens United</w:t>
      </w:r>
      <w:r w:rsidRPr="00ED351A">
        <w:rPr>
          <w:sz w:val="18"/>
          <w:szCs w:val="18"/>
        </w:rPr>
        <w:t xml:space="preserve">, </w:t>
      </w:r>
      <w:r w:rsidR="00CA6B25" w:rsidRPr="00ED351A">
        <w:rPr>
          <w:sz w:val="18"/>
          <w:szCs w:val="18"/>
        </w:rPr>
        <w:t>558 U. S. at 393</w:t>
      </w:r>
      <w:r w:rsidRPr="00ED351A">
        <w:rPr>
          <w:sz w:val="18"/>
          <w:szCs w:val="18"/>
        </w:rPr>
        <w:t>, Stevens, J., dissenting.</w:t>
      </w:r>
    </w:p>
  </w:footnote>
  <w:footnote w:id="18">
    <w:p w:rsidR="00B87ACF" w:rsidRPr="00ED351A" w:rsidRDefault="00B87ACF">
      <w:pPr>
        <w:pStyle w:val="FootnoteText"/>
        <w:rPr>
          <w:sz w:val="18"/>
          <w:szCs w:val="18"/>
        </w:rPr>
      </w:pPr>
      <w:r w:rsidRPr="00ED351A">
        <w:rPr>
          <w:rStyle w:val="FootnoteReference"/>
          <w:sz w:val="18"/>
          <w:szCs w:val="18"/>
        </w:rPr>
        <w:footnoteRef/>
      </w:r>
      <w:r w:rsidRPr="00ED351A">
        <w:rPr>
          <w:sz w:val="18"/>
          <w:szCs w:val="18"/>
        </w:rPr>
        <w:t xml:space="preserve"> </w:t>
      </w:r>
      <w:r w:rsidRPr="00ED351A">
        <w:rPr>
          <w:i/>
          <w:sz w:val="18"/>
          <w:szCs w:val="18"/>
        </w:rPr>
        <w:t>Id.</w:t>
      </w:r>
      <w:r w:rsidR="00B66241" w:rsidRPr="00ED351A">
        <w:rPr>
          <w:sz w:val="18"/>
          <w:szCs w:val="18"/>
        </w:rPr>
        <w:t xml:space="preserve"> at 420-21</w:t>
      </w:r>
      <w:r w:rsidRPr="00ED351A">
        <w:rPr>
          <w:sz w:val="18"/>
          <w:szCs w:val="18"/>
        </w:rPr>
        <w:t>.</w:t>
      </w:r>
    </w:p>
  </w:footnote>
  <w:footnote w:id="19">
    <w:p w:rsidR="00B87ACF" w:rsidRPr="00ED351A" w:rsidRDefault="00B87ACF">
      <w:pPr>
        <w:pStyle w:val="FootnoteText"/>
        <w:rPr>
          <w:sz w:val="18"/>
          <w:szCs w:val="18"/>
        </w:rPr>
      </w:pPr>
      <w:r w:rsidRPr="00ED351A">
        <w:rPr>
          <w:rStyle w:val="FootnoteReference"/>
          <w:sz w:val="18"/>
          <w:szCs w:val="18"/>
        </w:rPr>
        <w:footnoteRef/>
      </w:r>
      <w:r w:rsidRPr="00ED351A">
        <w:rPr>
          <w:sz w:val="18"/>
          <w:szCs w:val="18"/>
        </w:rPr>
        <w:t xml:space="preserve"> </w:t>
      </w:r>
      <w:r w:rsidRPr="00ED351A">
        <w:rPr>
          <w:i/>
          <w:sz w:val="18"/>
          <w:szCs w:val="18"/>
        </w:rPr>
        <w:t>Id</w:t>
      </w:r>
      <w:r w:rsidR="00B66241" w:rsidRPr="00ED351A">
        <w:rPr>
          <w:sz w:val="18"/>
          <w:szCs w:val="18"/>
        </w:rPr>
        <w:t>. at 469</w:t>
      </w:r>
      <w:r w:rsidRPr="00ED351A">
        <w:rPr>
          <w:sz w:val="18"/>
          <w:szCs w:val="18"/>
        </w:rPr>
        <w:t>.</w:t>
      </w:r>
    </w:p>
  </w:footnote>
  <w:footnote w:id="20">
    <w:p w:rsidR="00B87ACF" w:rsidRPr="00ED351A" w:rsidRDefault="00B87ACF" w:rsidP="0070615C">
      <w:pPr>
        <w:pStyle w:val="FootnoteText"/>
        <w:rPr>
          <w:rFonts w:cs="Segoe Print"/>
          <w:sz w:val="18"/>
          <w:szCs w:val="18"/>
        </w:rPr>
      </w:pPr>
      <w:r w:rsidRPr="00ED351A">
        <w:rPr>
          <w:rStyle w:val="FootnoteReference"/>
          <w:sz w:val="18"/>
          <w:szCs w:val="18"/>
        </w:rPr>
        <w:footnoteRef/>
      </w:r>
      <w:r w:rsidRPr="00ED351A">
        <w:rPr>
          <w:sz w:val="18"/>
          <w:szCs w:val="18"/>
        </w:rPr>
        <w:t xml:space="preserve"> </w:t>
      </w:r>
      <w:r w:rsidRPr="00ED351A">
        <w:rPr>
          <w:rFonts w:cs="Segoe Print"/>
          <w:sz w:val="18"/>
          <w:szCs w:val="18"/>
        </w:rPr>
        <w:t xml:space="preserve">Daniel I. Weiner, </w:t>
      </w:r>
      <w:r w:rsidRPr="00ED351A">
        <w:rPr>
          <w:rFonts w:cs="Segoe Print"/>
          <w:i/>
          <w:sz w:val="18"/>
          <w:szCs w:val="18"/>
        </w:rPr>
        <w:t>Citizens United Five Years Later</w:t>
      </w:r>
      <w:r w:rsidRPr="00ED351A">
        <w:rPr>
          <w:rFonts w:cs="Segoe Print"/>
          <w:sz w:val="18"/>
          <w:szCs w:val="18"/>
        </w:rPr>
        <w:t xml:space="preserve">, Brennan Center for Justice, 6 (2015), </w:t>
      </w:r>
      <w:hyperlink r:id="rId3" w:history="1">
        <w:r w:rsidRPr="00ED351A">
          <w:rPr>
            <w:rStyle w:val="Hyperlink"/>
            <w:rFonts w:cs="Segoe Print"/>
            <w:sz w:val="18"/>
            <w:szCs w:val="18"/>
          </w:rPr>
          <w:t>http://www.marshall.edu/spc/files/Citizens_United_-5_-Years_-Later.pdf</w:t>
        </w:r>
      </w:hyperlink>
      <w:r w:rsidR="00B66241" w:rsidRPr="00ED351A">
        <w:rPr>
          <w:rFonts w:cs="Segoe Print"/>
          <w:sz w:val="18"/>
          <w:szCs w:val="18"/>
        </w:rPr>
        <w:t xml:space="preserve"> [last visited 7/30/2015].</w:t>
      </w:r>
    </w:p>
  </w:footnote>
  <w:footnote w:id="21">
    <w:p w:rsidR="00B87ACF" w:rsidRPr="00ED351A" w:rsidRDefault="00B87ACF">
      <w:pPr>
        <w:pStyle w:val="FootnoteText"/>
        <w:rPr>
          <w:sz w:val="18"/>
          <w:szCs w:val="18"/>
        </w:rPr>
      </w:pPr>
      <w:r w:rsidRPr="00ED351A">
        <w:rPr>
          <w:rStyle w:val="FootnoteReference"/>
          <w:sz w:val="18"/>
          <w:szCs w:val="18"/>
        </w:rPr>
        <w:footnoteRef/>
      </w:r>
      <w:r w:rsidRPr="00ED351A">
        <w:rPr>
          <w:sz w:val="18"/>
          <w:szCs w:val="18"/>
        </w:rPr>
        <w:t xml:space="preserve"> </w:t>
      </w:r>
      <w:r w:rsidRPr="00ED351A">
        <w:rPr>
          <w:i/>
          <w:sz w:val="18"/>
          <w:szCs w:val="18"/>
        </w:rPr>
        <w:t>Id.</w:t>
      </w:r>
    </w:p>
  </w:footnote>
  <w:footnote w:id="22">
    <w:p w:rsidR="00B87ACF" w:rsidRPr="00ED351A" w:rsidRDefault="00B87ACF">
      <w:pPr>
        <w:pStyle w:val="FootnoteText"/>
        <w:rPr>
          <w:sz w:val="18"/>
          <w:szCs w:val="18"/>
        </w:rPr>
      </w:pPr>
      <w:r w:rsidRPr="00ED351A">
        <w:rPr>
          <w:rStyle w:val="FootnoteReference"/>
          <w:sz w:val="18"/>
          <w:szCs w:val="18"/>
        </w:rPr>
        <w:footnoteRef/>
      </w:r>
      <w:r w:rsidRPr="00ED351A">
        <w:rPr>
          <w:sz w:val="18"/>
          <w:szCs w:val="18"/>
        </w:rPr>
        <w:t xml:space="preserve"> </w:t>
      </w:r>
      <w:r w:rsidRPr="00ED351A">
        <w:rPr>
          <w:i/>
          <w:sz w:val="18"/>
          <w:szCs w:val="18"/>
        </w:rPr>
        <w:t>Citizens United</w:t>
      </w:r>
      <w:r w:rsidRPr="00ED351A">
        <w:rPr>
          <w:sz w:val="18"/>
          <w:szCs w:val="18"/>
        </w:rPr>
        <w:t xml:space="preserve">, 558 U. S. at </w:t>
      </w:r>
      <w:r w:rsidR="00B66241" w:rsidRPr="00ED351A">
        <w:rPr>
          <w:sz w:val="18"/>
          <w:szCs w:val="18"/>
        </w:rPr>
        <w:t>471</w:t>
      </w:r>
      <w:r w:rsidRPr="00ED351A">
        <w:rPr>
          <w:sz w:val="18"/>
          <w:szCs w:val="18"/>
        </w:rPr>
        <w:t>, Stevens, J., dissenting.</w:t>
      </w:r>
    </w:p>
  </w:footnote>
  <w:footnote w:id="23">
    <w:p w:rsidR="00B87ACF" w:rsidRPr="00ED351A" w:rsidRDefault="00B87ACF">
      <w:pPr>
        <w:pStyle w:val="FootnoteText"/>
        <w:rPr>
          <w:sz w:val="18"/>
          <w:szCs w:val="18"/>
        </w:rPr>
      </w:pPr>
      <w:r w:rsidRPr="00ED351A">
        <w:rPr>
          <w:rStyle w:val="FootnoteReference"/>
          <w:sz w:val="18"/>
          <w:szCs w:val="18"/>
        </w:rPr>
        <w:footnoteRef/>
      </w:r>
      <w:r w:rsidRPr="00ED351A">
        <w:rPr>
          <w:sz w:val="18"/>
          <w:szCs w:val="18"/>
        </w:rPr>
        <w:t xml:space="preserve"> </w:t>
      </w:r>
      <w:r w:rsidRPr="00ED351A">
        <w:rPr>
          <w:rFonts w:cs="Segoe Print"/>
          <w:sz w:val="18"/>
          <w:szCs w:val="18"/>
        </w:rPr>
        <w:t xml:space="preserve">Esther Houseman, Note, </w:t>
      </w:r>
      <w:r w:rsidRPr="00ED351A">
        <w:rPr>
          <w:rFonts w:cs="Segoe Print"/>
          <w:i/>
          <w:sz w:val="18"/>
          <w:szCs w:val="18"/>
        </w:rPr>
        <w:t>Citizens United v. FEC: Departure from Precedent Opens the Gate to “Phantom” Political Speakers</w:t>
      </w:r>
      <w:r w:rsidRPr="00ED351A">
        <w:rPr>
          <w:rFonts w:cs="Segoe Print"/>
          <w:sz w:val="18"/>
          <w:szCs w:val="18"/>
        </w:rPr>
        <w:t>, 70 Md. L. Rev. Endnotes 50, (2011).</w:t>
      </w:r>
    </w:p>
  </w:footnote>
  <w:footnote w:id="24">
    <w:p w:rsidR="00B87ACF" w:rsidRPr="00ED351A" w:rsidRDefault="00B87ACF" w:rsidP="000B13E8">
      <w:pPr>
        <w:pStyle w:val="FootnoteText"/>
        <w:rPr>
          <w:sz w:val="18"/>
          <w:szCs w:val="18"/>
        </w:rPr>
      </w:pPr>
      <w:r w:rsidRPr="00ED351A">
        <w:rPr>
          <w:rStyle w:val="FootnoteReference"/>
          <w:sz w:val="18"/>
          <w:szCs w:val="18"/>
        </w:rPr>
        <w:footnoteRef/>
      </w:r>
      <w:r w:rsidRPr="00ED351A">
        <w:rPr>
          <w:sz w:val="18"/>
          <w:szCs w:val="18"/>
        </w:rPr>
        <w:t xml:space="preserve"> </w:t>
      </w:r>
      <w:r w:rsidRPr="00ED351A">
        <w:rPr>
          <w:i/>
          <w:sz w:val="18"/>
          <w:szCs w:val="18"/>
        </w:rPr>
        <w:t>Citizens United</w:t>
      </w:r>
      <w:r w:rsidRPr="00ED351A">
        <w:rPr>
          <w:sz w:val="18"/>
          <w:szCs w:val="18"/>
        </w:rPr>
        <w:t xml:space="preserve">, 558 U. S. at </w:t>
      </w:r>
      <w:r w:rsidR="00B66241" w:rsidRPr="00ED351A">
        <w:rPr>
          <w:sz w:val="18"/>
          <w:szCs w:val="18"/>
        </w:rPr>
        <w:t>470</w:t>
      </w:r>
      <w:r w:rsidRPr="00ED351A">
        <w:rPr>
          <w:sz w:val="18"/>
          <w:szCs w:val="18"/>
        </w:rPr>
        <w:t>, Stevens, J., dissenting.</w:t>
      </w:r>
    </w:p>
  </w:footnote>
  <w:footnote w:id="25">
    <w:p w:rsidR="00B87ACF" w:rsidRPr="00ED351A" w:rsidRDefault="00B87ACF">
      <w:pPr>
        <w:pStyle w:val="FootnoteText"/>
        <w:rPr>
          <w:sz w:val="18"/>
          <w:szCs w:val="18"/>
        </w:rPr>
      </w:pPr>
      <w:r w:rsidRPr="00ED351A">
        <w:rPr>
          <w:rStyle w:val="FootnoteReference"/>
          <w:sz w:val="18"/>
          <w:szCs w:val="18"/>
        </w:rPr>
        <w:footnoteRef/>
      </w:r>
      <w:r w:rsidRPr="00ED351A">
        <w:rPr>
          <w:sz w:val="18"/>
          <w:szCs w:val="18"/>
        </w:rPr>
        <w:t xml:space="preserve"> </w:t>
      </w:r>
      <w:r w:rsidRPr="00ED351A">
        <w:rPr>
          <w:i/>
          <w:sz w:val="18"/>
          <w:szCs w:val="18"/>
        </w:rPr>
        <w:t>Id</w:t>
      </w:r>
      <w:r w:rsidRPr="00ED351A">
        <w:rPr>
          <w:sz w:val="18"/>
          <w:szCs w:val="18"/>
        </w:rPr>
        <w:t xml:space="preserve">. </w:t>
      </w:r>
    </w:p>
  </w:footnote>
  <w:footnote w:id="26">
    <w:p w:rsidR="00B87ACF" w:rsidRPr="00ED351A" w:rsidRDefault="00B87ACF">
      <w:pPr>
        <w:pStyle w:val="FootnoteText"/>
        <w:rPr>
          <w:sz w:val="18"/>
          <w:szCs w:val="18"/>
        </w:rPr>
      </w:pPr>
      <w:r w:rsidRPr="00ED351A">
        <w:rPr>
          <w:rStyle w:val="FootnoteReference"/>
          <w:sz w:val="18"/>
          <w:szCs w:val="18"/>
        </w:rPr>
        <w:footnoteRef/>
      </w:r>
      <w:r w:rsidRPr="00ED351A">
        <w:rPr>
          <w:sz w:val="18"/>
          <w:szCs w:val="18"/>
        </w:rPr>
        <w:t xml:space="preserve"> </w:t>
      </w:r>
      <w:r w:rsidRPr="00ED351A">
        <w:rPr>
          <w:i/>
          <w:sz w:val="18"/>
          <w:szCs w:val="18"/>
        </w:rPr>
        <w:t>Id.</w:t>
      </w:r>
      <w:r w:rsidRPr="00ED351A">
        <w:rPr>
          <w:sz w:val="18"/>
          <w:szCs w:val="18"/>
        </w:rPr>
        <w:t xml:space="preserve"> </w:t>
      </w:r>
    </w:p>
  </w:footnote>
  <w:footnote w:id="27">
    <w:p w:rsidR="00B87ACF" w:rsidRPr="00ED351A" w:rsidRDefault="00B87ACF">
      <w:pPr>
        <w:pStyle w:val="FootnoteText"/>
        <w:rPr>
          <w:sz w:val="18"/>
          <w:szCs w:val="18"/>
        </w:rPr>
      </w:pPr>
      <w:r w:rsidRPr="00ED351A">
        <w:rPr>
          <w:rStyle w:val="FootnoteReference"/>
          <w:sz w:val="18"/>
          <w:szCs w:val="18"/>
        </w:rPr>
        <w:footnoteRef/>
      </w:r>
      <w:r w:rsidRPr="00ED351A">
        <w:rPr>
          <w:sz w:val="18"/>
          <w:szCs w:val="18"/>
        </w:rPr>
        <w:t xml:space="preserve"> </w:t>
      </w:r>
      <w:r w:rsidRPr="00ED351A">
        <w:rPr>
          <w:i/>
          <w:sz w:val="18"/>
          <w:szCs w:val="18"/>
        </w:rPr>
        <w:t>Id.</w:t>
      </w:r>
      <w:r w:rsidRPr="00ED351A">
        <w:rPr>
          <w:sz w:val="18"/>
          <w:szCs w:val="18"/>
        </w:rPr>
        <w:t xml:space="preserve"> </w:t>
      </w:r>
    </w:p>
  </w:footnote>
  <w:footnote w:id="28">
    <w:p w:rsidR="00B87ACF" w:rsidRPr="00ED351A" w:rsidRDefault="00B87ACF">
      <w:pPr>
        <w:pStyle w:val="FootnoteText"/>
        <w:rPr>
          <w:rFonts w:cs="Segoe Print"/>
          <w:sz w:val="18"/>
          <w:szCs w:val="18"/>
        </w:rPr>
      </w:pPr>
      <w:r w:rsidRPr="00ED351A">
        <w:rPr>
          <w:rStyle w:val="FootnoteReference"/>
          <w:sz w:val="18"/>
          <w:szCs w:val="18"/>
        </w:rPr>
        <w:footnoteRef/>
      </w:r>
      <w:r w:rsidRPr="00ED351A">
        <w:rPr>
          <w:sz w:val="18"/>
          <w:szCs w:val="18"/>
        </w:rPr>
        <w:t xml:space="preserve"> </w:t>
      </w:r>
      <w:r w:rsidRPr="00ED351A">
        <w:rPr>
          <w:rFonts w:cs="Segoe Print"/>
          <w:sz w:val="18"/>
          <w:szCs w:val="18"/>
        </w:rPr>
        <w:t xml:space="preserve">Daniel I. Weiner, </w:t>
      </w:r>
      <w:r w:rsidRPr="00ED351A">
        <w:rPr>
          <w:rFonts w:cs="Segoe Print"/>
          <w:i/>
          <w:sz w:val="18"/>
          <w:szCs w:val="18"/>
        </w:rPr>
        <w:t>Citizens United Five Years Later</w:t>
      </w:r>
      <w:r w:rsidRPr="00ED351A">
        <w:rPr>
          <w:rFonts w:cs="Segoe Print"/>
          <w:sz w:val="18"/>
          <w:szCs w:val="18"/>
        </w:rPr>
        <w:t xml:space="preserve">, Brennan Center for Justice, (2015), </w:t>
      </w:r>
      <w:hyperlink r:id="rId4" w:history="1">
        <w:r w:rsidRPr="00ED351A">
          <w:rPr>
            <w:rStyle w:val="Hyperlink"/>
            <w:rFonts w:cs="Segoe Print"/>
            <w:sz w:val="18"/>
            <w:szCs w:val="18"/>
          </w:rPr>
          <w:t>http://www.marshall.edu/spc/files/Citizens_United_-5_-Years_-Later.pdf</w:t>
        </w:r>
      </w:hyperlink>
      <w:r w:rsidRPr="00ED351A">
        <w:rPr>
          <w:rFonts w:cs="Segoe Print"/>
          <w:sz w:val="18"/>
          <w:szCs w:val="18"/>
        </w:rPr>
        <w:t xml:space="preserve"> [last visited 7/30/2015].</w:t>
      </w:r>
    </w:p>
  </w:footnote>
  <w:footnote w:id="29">
    <w:p w:rsidR="00B87ACF" w:rsidRPr="00ED351A" w:rsidRDefault="00B87ACF">
      <w:pPr>
        <w:pStyle w:val="FootnoteText"/>
        <w:rPr>
          <w:sz w:val="18"/>
          <w:szCs w:val="18"/>
        </w:rPr>
      </w:pPr>
      <w:r w:rsidRPr="00ED351A">
        <w:rPr>
          <w:rStyle w:val="FootnoteReference"/>
          <w:sz w:val="18"/>
          <w:szCs w:val="18"/>
        </w:rPr>
        <w:footnoteRef/>
      </w:r>
      <w:r w:rsidRPr="00ED351A">
        <w:rPr>
          <w:sz w:val="18"/>
          <w:szCs w:val="18"/>
        </w:rPr>
        <w:t xml:space="preserve"> </w:t>
      </w:r>
      <w:r w:rsidRPr="00ED351A">
        <w:rPr>
          <w:i/>
          <w:sz w:val="18"/>
          <w:szCs w:val="18"/>
        </w:rPr>
        <w:t>Citizens United</w:t>
      </w:r>
      <w:r w:rsidRPr="00ED351A">
        <w:rPr>
          <w:sz w:val="18"/>
          <w:szCs w:val="18"/>
        </w:rPr>
        <w:t xml:space="preserve">, 558 U. S. at </w:t>
      </w:r>
      <w:r w:rsidR="00B66241" w:rsidRPr="00ED351A">
        <w:rPr>
          <w:sz w:val="18"/>
          <w:szCs w:val="18"/>
        </w:rPr>
        <w:t>467</w:t>
      </w:r>
      <w:r w:rsidRPr="00ED351A">
        <w:rPr>
          <w:sz w:val="18"/>
          <w:szCs w:val="18"/>
        </w:rPr>
        <w:t>, Stevens, J., dissenting.</w:t>
      </w:r>
    </w:p>
  </w:footnote>
  <w:footnote w:id="30">
    <w:p w:rsidR="00B87ACF" w:rsidRPr="00ED351A" w:rsidRDefault="00B87ACF">
      <w:pPr>
        <w:pStyle w:val="FootnoteText"/>
        <w:rPr>
          <w:rFonts w:cs="Segoe Print"/>
          <w:sz w:val="18"/>
          <w:szCs w:val="18"/>
        </w:rPr>
      </w:pPr>
      <w:r w:rsidRPr="00ED351A">
        <w:rPr>
          <w:rStyle w:val="FootnoteReference"/>
          <w:sz w:val="18"/>
          <w:szCs w:val="18"/>
        </w:rPr>
        <w:footnoteRef/>
      </w:r>
      <w:r w:rsidRPr="00ED351A">
        <w:rPr>
          <w:sz w:val="18"/>
          <w:szCs w:val="18"/>
        </w:rPr>
        <w:t xml:space="preserve"> </w:t>
      </w:r>
      <w:r w:rsidRPr="00ED351A">
        <w:rPr>
          <w:rFonts w:cs="Segoe Print"/>
          <w:sz w:val="18"/>
          <w:szCs w:val="18"/>
        </w:rPr>
        <w:t xml:space="preserve">Daniel I. Weiner, </w:t>
      </w:r>
      <w:r w:rsidRPr="00ED351A">
        <w:rPr>
          <w:rFonts w:cs="Segoe Print"/>
          <w:i/>
          <w:sz w:val="18"/>
          <w:szCs w:val="18"/>
        </w:rPr>
        <w:t>Citizens United Five Years Later</w:t>
      </w:r>
      <w:r w:rsidRPr="00ED351A">
        <w:rPr>
          <w:rFonts w:cs="Segoe Print"/>
          <w:sz w:val="18"/>
          <w:szCs w:val="18"/>
        </w:rPr>
        <w:t xml:space="preserve">, Brennan Center for Justice, (2015), </w:t>
      </w:r>
      <w:hyperlink r:id="rId5" w:history="1">
        <w:r w:rsidRPr="00ED351A">
          <w:rPr>
            <w:rStyle w:val="Hyperlink"/>
            <w:rFonts w:cs="Segoe Print"/>
            <w:sz w:val="18"/>
            <w:szCs w:val="18"/>
          </w:rPr>
          <w:t>http://www.marshall.edu/spc/files/Citizens_United_-5_-Years_-Later.pdf</w:t>
        </w:r>
      </w:hyperlink>
      <w:r w:rsidRPr="00ED351A">
        <w:rPr>
          <w:rFonts w:cs="Segoe Print"/>
          <w:sz w:val="18"/>
          <w:szCs w:val="18"/>
        </w:rPr>
        <w:t xml:space="preserve"> [last accessed 7/30/205].</w:t>
      </w:r>
    </w:p>
  </w:footnote>
  <w:footnote w:id="31">
    <w:p w:rsidR="00B87ACF" w:rsidRPr="00ED351A" w:rsidRDefault="00B87ACF">
      <w:pPr>
        <w:pStyle w:val="FootnoteText"/>
        <w:rPr>
          <w:rFonts w:cs="Segoe Print"/>
          <w:sz w:val="18"/>
          <w:szCs w:val="18"/>
        </w:rPr>
      </w:pPr>
      <w:r w:rsidRPr="00ED351A">
        <w:rPr>
          <w:rStyle w:val="FootnoteReference"/>
          <w:sz w:val="18"/>
          <w:szCs w:val="18"/>
        </w:rPr>
        <w:footnoteRef/>
      </w:r>
      <w:r w:rsidRPr="00ED351A">
        <w:rPr>
          <w:sz w:val="18"/>
          <w:szCs w:val="18"/>
        </w:rPr>
        <w:t xml:space="preserve"> </w:t>
      </w:r>
      <w:r w:rsidRPr="00ED351A">
        <w:rPr>
          <w:rFonts w:cs="Segoe Print"/>
          <w:sz w:val="18"/>
          <w:szCs w:val="18"/>
        </w:rPr>
        <w:t>Adam Liptak</w:t>
      </w:r>
      <w:r w:rsidRPr="005231FD">
        <w:rPr>
          <w:rFonts w:cs="Segoe Print"/>
          <w:i/>
          <w:sz w:val="18"/>
          <w:szCs w:val="18"/>
        </w:rPr>
        <w:t>, Justices, 5-4, Reject Corporate Spending Limit</w:t>
      </w:r>
      <w:r w:rsidRPr="00ED351A">
        <w:rPr>
          <w:rFonts w:cs="Segoe Print"/>
          <w:sz w:val="18"/>
          <w:szCs w:val="18"/>
        </w:rPr>
        <w:t xml:space="preserve">, The New York Times, January 21, 2010, </w:t>
      </w:r>
      <w:hyperlink r:id="rId6" w:history="1">
        <w:r w:rsidRPr="00ED351A">
          <w:rPr>
            <w:rStyle w:val="Hyperlink"/>
            <w:rFonts w:cs="Segoe Print"/>
            <w:sz w:val="18"/>
            <w:szCs w:val="18"/>
          </w:rPr>
          <w:t>http://www.nytimes.com/2010/01/22/us/politics/22scotus.html?pagewanted=all&amp;_r=1</w:t>
        </w:r>
      </w:hyperlink>
      <w:r w:rsidRPr="00ED351A">
        <w:rPr>
          <w:rFonts w:cs="Segoe Print"/>
          <w:sz w:val="18"/>
          <w:szCs w:val="18"/>
        </w:rPr>
        <w:t xml:space="preserve"> [last accessed 7/30/205].</w:t>
      </w:r>
    </w:p>
  </w:footnote>
  <w:footnote w:id="32">
    <w:p w:rsidR="00B87ACF" w:rsidRPr="00ED351A" w:rsidRDefault="00B87ACF" w:rsidP="007F7532">
      <w:pPr>
        <w:pStyle w:val="FootnoteText"/>
        <w:rPr>
          <w:sz w:val="18"/>
          <w:szCs w:val="18"/>
        </w:rPr>
      </w:pPr>
      <w:r w:rsidRPr="00ED351A">
        <w:rPr>
          <w:rStyle w:val="FootnoteReference"/>
          <w:sz w:val="18"/>
          <w:szCs w:val="18"/>
        </w:rPr>
        <w:footnoteRef/>
      </w:r>
      <w:r w:rsidRPr="00ED351A">
        <w:rPr>
          <w:sz w:val="18"/>
          <w:szCs w:val="18"/>
        </w:rPr>
        <w:t xml:space="preserve"> </w:t>
      </w:r>
      <w:r w:rsidRPr="00ED351A">
        <w:rPr>
          <w:i/>
          <w:sz w:val="18"/>
          <w:szCs w:val="18"/>
        </w:rPr>
        <w:t>Id.</w:t>
      </w:r>
      <w:r w:rsidRPr="00ED351A">
        <w:rPr>
          <w:sz w:val="18"/>
          <w:szCs w:val="18"/>
        </w:rPr>
        <w:t xml:space="preserve"> </w:t>
      </w:r>
    </w:p>
  </w:footnote>
  <w:footnote w:id="33">
    <w:p w:rsidR="00B87ACF" w:rsidRPr="00ED351A" w:rsidRDefault="00B87ACF">
      <w:pPr>
        <w:pStyle w:val="FootnoteText"/>
        <w:rPr>
          <w:sz w:val="18"/>
          <w:szCs w:val="18"/>
        </w:rPr>
      </w:pPr>
      <w:r w:rsidRPr="00ED351A">
        <w:rPr>
          <w:rStyle w:val="FootnoteReference"/>
          <w:sz w:val="18"/>
          <w:szCs w:val="18"/>
        </w:rPr>
        <w:footnoteRef/>
      </w:r>
      <w:r w:rsidRPr="00ED351A">
        <w:rPr>
          <w:sz w:val="18"/>
          <w:szCs w:val="18"/>
        </w:rPr>
        <w:t xml:space="preserve"> </w:t>
      </w:r>
      <w:r w:rsidRPr="00ED351A">
        <w:rPr>
          <w:i/>
          <w:sz w:val="18"/>
          <w:szCs w:val="18"/>
        </w:rPr>
        <w:t>Id.</w:t>
      </w:r>
      <w:r w:rsidRPr="00ED351A">
        <w:rPr>
          <w:sz w:val="18"/>
          <w:szCs w:val="18"/>
        </w:rPr>
        <w:t xml:space="preserve"> </w:t>
      </w:r>
    </w:p>
  </w:footnote>
  <w:footnote w:id="34">
    <w:p w:rsidR="00B87ACF" w:rsidRDefault="00B87ACF" w:rsidP="00B66241">
      <w:pPr>
        <w:pStyle w:val="FootnoteText"/>
      </w:pPr>
      <w:r w:rsidRPr="00ED351A">
        <w:rPr>
          <w:rStyle w:val="FootnoteReference"/>
          <w:sz w:val="18"/>
          <w:szCs w:val="18"/>
        </w:rPr>
        <w:footnoteRef/>
      </w:r>
      <w:r w:rsidRPr="00ED351A">
        <w:rPr>
          <w:sz w:val="18"/>
          <w:szCs w:val="18"/>
        </w:rPr>
        <w:t xml:space="preserve"> </w:t>
      </w:r>
      <w:r w:rsidR="00B66241" w:rsidRPr="00ED351A">
        <w:rPr>
          <w:i/>
          <w:sz w:val="18"/>
          <w:szCs w:val="18"/>
        </w:rPr>
        <w:t>Citizens United</w:t>
      </w:r>
      <w:r w:rsidR="00B66241" w:rsidRPr="00ED351A">
        <w:rPr>
          <w:sz w:val="18"/>
          <w:szCs w:val="18"/>
        </w:rPr>
        <w:t>, 558 U.S. at 467, Stevens, J., dissenting.</w:t>
      </w:r>
      <w:r w:rsidR="00B6624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08497"/>
      <w:docPartObj>
        <w:docPartGallery w:val="Page Numbers (Top of Page)"/>
        <w:docPartUnique/>
      </w:docPartObj>
    </w:sdtPr>
    <w:sdtEndPr>
      <w:rPr>
        <w:noProof/>
      </w:rPr>
    </w:sdtEndPr>
    <w:sdtContent>
      <w:p w:rsidR="00B87ACF" w:rsidRDefault="00B87ACF" w:rsidP="00CA0FA7">
        <w:pPr>
          <w:pStyle w:val="Header"/>
        </w:pPr>
        <w:r>
          <w:t xml:space="preserve">Dunham </w:t>
        </w:r>
        <w:r>
          <w:tab/>
        </w:r>
        <w:r>
          <w:tab/>
        </w:r>
        <w:r>
          <w:fldChar w:fldCharType="begin"/>
        </w:r>
        <w:r>
          <w:instrText xml:space="preserve"> PAGE   \* MERGEFORMAT </w:instrText>
        </w:r>
        <w:r>
          <w:fldChar w:fldCharType="separate"/>
        </w:r>
        <w:r w:rsidR="00C922E9">
          <w:rPr>
            <w:noProof/>
          </w:rPr>
          <w:t>13</w:t>
        </w:r>
        <w:r>
          <w:rPr>
            <w:noProof/>
          </w:rPr>
          <w:fldChar w:fldCharType="end"/>
        </w:r>
      </w:p>
    </w:sdtContent>
  </w:sdt>
  <w:p w:rsidR="00B87ACF" w:rsidRDefault="00B87A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D6BFD"/>
    <w:multiLevelType w:val="hybridMultilevel"/>
    <w:tmpl w:val="90C65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CC4"/>
    <w:rsid w:val="00010868"/>
    <w:rsid w:val="00010E4B"/>
    <w:rsid w:val="00054356"/>
    <w:rsid w:val="00085987"/>
    <w:rsid w:val="000A618B"/>
    <w:rsid w:val="000B13E8"/>
    <w:rsid w:val="000F48DC"/>
    <w:rsid w:val="00131F8C"/>
    <w:rsid w:val="00156999"/>
    <w:rsid w:val="001652E7"/>
    <w:rsid w:val="0016754C"/>
    <w:rsid w:val="001877F3"/>
    <w:rsid w:val="001A3178"/>
    <w:rsid w:val="001B0D92"/>
    <w:rsid w:val="001C2055"/>
    <w:rsid w:val="001E27E7"/>
    <w:rsid w:val="001E3341"/>
    <w:rsid w:val="001F6D55"/>
    <w:rsid w:val="00232DB2"/>
    <w:rsid w:val="00260F3F"/>
    <w:rsid w:val="00271B58"/>
    <w:rsid w:val="002743CD"/>
    <w:rsid w:val="00303CC4"/>
    <w:rsid w:val="003949DE"/>
    <w:rsid w:val="003C2805"/>
    <w:rsid w:val="003C4B79"/>
    <w:rsid w:val="003D34C4"/>
    <w:rsid w:val="003E4E63"/>
    <w:rsid w:val="00430068"/>
    <w:rsid w:val="00441D3B"/>
    <w:rsid w:val="00474AA8"/>
    <w:rsid w:val="004D4803"/>
    <w:rsid w:val="005054E7"/>
    <w:rsid w:val="00505544"/>
    <w:rsid w:val="005231FD"/>
    <w:rsid w:val="0053596E"/>
    <w:rsid w:val="00546ACE"/>
    <w:rsid w:val="00565666"/>
    <w:rsid w:val="0062061F"/>
    <w:rsid w:val="00652AA7"/>
    <w:rsid w:val="00660434"/>
    <w:rsid w:val="006B04B1"/>
    <w:rsid w:val="006E60B6"/>
    <w:rsid w:val="0070560E"/>
    <w:rsid w:val="0070615C"/>
    <w:rsid w:val="0072138D"/>
    <w:rsid w:val="0075645A"/>
    <w:rsid w:val="007877A6"/>
    <w:rsid w:val="007F7532"/>
    <w:rsid w:val="00816202"/>
    <w:rsid w:val="00866CE4"/>
    <w:rsid w:val="0088087E"/>
    <w:rsid w:val="008B3C99"/>
    <w:rsid w:val="008C698D"/>
    <w:rsid w:val="00942CC7"/>
    <w:rsid w:val="00957D20"/>
    <w:rsid w:val="009B5F78"/>
    <w:rsid w:val="009D2467"/>
    <w:rsid w:val="00A02C65"/>
    <w:rsid w:val="00A06F66"/>
    <w:rsid w:val="00A2530C"/>
    <w:rsid w:val="00A66BB4"/>
    <w:rsid w:val="00A85182"/>
    <w:rsid w:val="00AE3AD1"/>
    <w:rsid w:val="00AF7B65"/>
    <w:rsid w:val="00B0032B"/>
    <w:rsid w:val="00B1126F"/>
    <w:rsid w:val="00B66241"/>
    <w:rsid w:val="00B73F7E"/>
    <w:rsid w:val="00B77160"/>
    <w:rsid w:val="00B87ACF"/>
    <w:rsid w:val="00B931C9"/>
    <w:rsid w:val="00BB52B4"/>
    <w:rsid w:val="00BB60F5"/>
    <w:rsid w:val="00BC021D"/>
    <w:rsid w:val="00BC25C3"/>
    <w:rsid w:val="00C46460"/>
    <w:rsid w:val="00C91880"/>
    <w:rsid w:val="00C922E9"/>
    <w:rsid w:val="00CA0FA7"/>
    <w:rsid w:val="00CA1FF4"/>
    <w:rsid w:val="00CA5B7E"/>
    <w:rsid w:val="00CA6B25"/>
    <w:rsid w:val="00D06E3B"/>
    <w:rsid w:val="00D1293D"/>
    <w:rsid w:val="00D33073"/>
    <w:rsid w:val="00D70E3D"/>
    <w:rsid w:val="00D81476"/>
    <w:rsid w:val="00D875FC"/>
    <w:rsid w:val="00D878B3"/>
    <w:rsid w:val="00D913C3"/>
    <w:rsid w:val="00D916B2"/>
    <w:rsid w:val="00DC16BE"/>
    <w:rsid w:val="00DD03B3"/>
    <w:rsid w:val="00DE3470"/>
    <w:rsid w:val="00E16536"/>
    <w:rsid w:val="00E17EA2"/>
    <w:rsid w:val="00E24DB5"/>
    <w:rsid w:val="00E7752B"/>
    <w:rsid w:val="00E90757"/>
    <w:rsid w:val="00EA635A"/>
    <w:rsid w:val="00EB5ED7"/>
    <w:rsid w:val="00EC23AF"/>
    <w:rsid w:val="00ED351A"/>
    <w:rsid w:val="00EE2729"/>
    <w:rsid w:val="00F02CBD"/>
    <w:rsid w:val="00F15B2F"/>
    <w:rsid w:val="00F23489"/>
    <w:rsid w:val="00F44FFF"/>
    <w:rsid w:val="00F755A2"/>
    <w:rsid w:val="00F97762"/>
    <w:rsid w:val="00FA2C58"/>
    <w:rsid w:val="00FD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7EA2"/>
  </w:style>
  <w:style w:type="character" w:styleId="Hyperlink">
    <w:name w:val="Hyperlink"/>
    <w:basedOn w:val="DefaultParagraphFont"/>
    <w:uiPriority w:val="99"/>
    <w:unhideWhenUsed/>
    <w:rsid w:val="00DC16BE"/>
    <w:rPr>
      <w:color w:val="0000FF"/>
      <w:u w:val="single"/>
    </w:rPr>
  </w:style>
  <w:style w:type="character" w:customStyle="1" w:styleId="costarpage">
    <w:name w:val="co_starpage"/>
    <w:basedOn w:val="DefaultParagraphFont"/>
    <w:rsid w:val="00DC16BE"/>
  </w:style>
  <w:style w:type="paragraph" w:customStyle="1" w:styleId="Default">
    <w:name w:val="Default"/>
    <w:rsid w:val="00441D3B"/>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FootnoteText">
    <w:name w:val="footnote text"/>
    <w:basedOn w:val="Normal"/>
    <w:link w:val="FootnoteTextChar"/>
    <w:uiPriority w:val="99"/>
    <w:semiHidden/>
    <w:unhideWhenUsed/>
    <w:rsid w:val="003D34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34C4"/>
    <w:rPr>
      <w:sz w:val="20"/>
      <w:szCs w:val="20"/>
    </w:rPr>
  </w:style>
  <w:style w:type="character" w:styleId="FootnoteReference">
    <w:name w:val="footnote reference"/>
    <w:basedOn w:val="DefaultParagraphFont"/>
    <w:uiPriority w:val="99"/>
    <w:semiHidden/>
    <w:unhideWhenUsed/>
    <w:rsid w:val="003D34C4"/>
    <w:rPr>
      <w:vertAlign w:val="superscript"/>
    </w:rPr>
  </w:style>
  <w:style w:type="paragraph" w:styleId="ListParagraph">
    <w:name w:val="List Paragraph"/>
    <w:basedOn w:val="Normal"/>
    <w:uiPriority w:val="34"/>
    <w:qFormat/>
    <w:rsid w:val="00B931C9"/>
    <w:pPr>
      <w:ind w:left="720"/>
      <w:contextualSpacing/>
    </w:pPr>
  </w:style>
  <w:style w:type="paragraph" w:styleId="NoSpacing">
    <w:name w:val="No Spacing"/>
    <w:link w:val="NoSpacingChar"/>
    <w:uiPriority w:val="1"/>
    <w:qFormat/>
    <w:rsid w:val="00B931C9"/>
    <w:pPr>
      <w:spacing w:after="0" w:line="240" w:lineRule="auto"/>
    </w:pPr>
  </w:style>
  <w:style w:type="paragraph" w:styleId="Header">
    <w:name w:val="header"/>
    <w:basedOn w:val="Normal"/>
    <w:link w:val="HeaderChar"/>
    <w:uiPriority w:val="99"/>
    <w:unhideWhenUsed/>
    <w:rsid w:val="00CA0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FA7"/>
  </w:style>
  <w:style w:type="paragraph" w:styleId="Footer">
    <w:name w:val="footer"/>
    <w:basedOn w:val="Normal"/>
    <w:link w:val="FooterChar"/>
    <w:uiPriority w:val="99"/>
    <w:unhideWhenUsed/>
    <w:rsid w:val="00CA0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FA7"/>
  </w:style>
  <w:style w:type="character" w:styleId="Emphasis">
    <w:name w:val="Emphasis"/>
    <w:basedOn w:val="DefaultParagraphFont"/>
    <w:uiPriority w:val="20"/>
    <w:qFormat/>
    <w:rsid w:val="001F6D55"/>
    <w:rPr>
      <w:i/>
      <w:iCs/>
    </w:rPr>
  </w:style>
  <w:style w:type="character" w:customStyle="1" w:styleId="NoSpacingChar">
    <w:name w:val="No Spacing Char"/>
    <w:basedOn w:val="DefaultParagraphFont"/>
    <w:link w:val="NoSpacing"/>
    <w:uiPriority w:val="1"/>
    <w:rsid w:val="00E90757"/>
  </w:style>
  <w:style w:type="paragraph" w:customStyle="1" w:styleId="CM15">
    <w:name w:val="CM15"/>
    <w:basedOn w:val="Default"/>
    <w:next w:val="Default"/>
    <w:uiPriority w:val="99"/>
    <w:rsid w:val="00A2530C"/>
    <w:pPr>
      <w:spacing w:line="266" w:lineRule="atLeast"/>
    </w:pPr>
    <w:rPr>
      <w:rFonts w:cs="Sakkal Majalla"/>
      <w:color w:val="auto"/>
    </w:rPr>
  </w:style>
  <w:style w:type="paragraph" w:styleId="BalloonText">
    <w:name w:val="Balloon Text"/>
    <w:basedOn w:val="Normal"/>
    <w:link w:val="BalloonTextChar"/>
    <w:uiPriority w:val="99"/>
    <w:semiHidden/>
    <w:unhideWhenUsed/>
    <w:rsid w:val="00CA6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B2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7EA2"/>
  </w:style>
  <w:style w:type="character" w:styleId="Hyperlink">
    <w:name w:val="Hyperlink"/>
    <w:basedOn w:val="DefaultParagraphFont"/>
    <w:uiPriority w:val="99"/>
    <w:unhideWhenUsed/>
    <w:rsid w:val="00DC16BE"/>
    <w:rPr>
      <w:color w:val="0000FF"/>
      <w:u w:val="single"/>
    </w:rPr>
  </w:style>
  <w:style w:type="character" w:customStyle="1" w:styleId="costarpage">
    <w:name w:val="co_starpage"/>
    <w:basedOn w:val="DefaultParagraphFont"/>
    <w:rsid w:val="00DC16BE"/>
  </w:style>
  <w:style w:type="paragraph" w:customStyle="1" w:styleId="Default">
    <w:name w:val="Default"/>
    <w:rsid w:val="00441D3B"/>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FootnoteText">
    <w:name w:val="footnote text"/>
    <w:basedOn w:val="Normal"/>
    <w:link w:val="FootnoteTextChar"/>
    <w:uiPriority w:val="99"/>
    <w:semiHidden/>
    <w:unhideWhenUsed/>
    <w:rsid w:val="003D34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34C4"/>
    <w:rPr>
      <w:sz w:val="20"/>
      <w:szCs w:val="20"/>
    </w:rPr>
  </w:style>
  <w:style w:type="character" w:styleId="FootnoteReference">
    <w:name w:val="footnote reference"/>
    <w:basedOn w:val="DefaultParagraphFont"/>
    <w:uiPriority w:val="99"/>
    <w:semiHidden/>
    <w:unhideWhenUsed/>
    <w:rsid w:val="003D34C4"/>
    <w:rPr>
      <w:vertAlign w:val="superscript"/>
    </w:rPr>
  </w:style>
  <w:style w:type="paragraph" w:styleId="ListParagraph">
    <w:name w:val="List Paragraph"/>
    <w:basedOn w:val="Normal"/>
    <w:uiPriority w:val="34"/>
    <w:qFormat/>
    <w:rsid w:val="00B931C9"/>
    <w:pPr>
      <w:ind w:left="720"/>
      <w:contextualSpacing/>
    </w:pPr>
  </w:style>
  <w:style w:type="paragraph" w:styleId="NoSpacing">
    <w:name w:val="No Spacing"/>
    <w:link w:val="NoSpacingChar"/>
    <w:uiPriority w:val="1"/>
    <w:qFormat/>
    <w:rsid w:val="00B931C9"/>
    <w:pPr>
      <w:spacing w:after="0" w:line="240" w:lineRule="auto"/>
    </w:pPr>
  </w:style>
  <w:style w:type="paragraph" w:styleId="Header">
    <w:name w:val="header"/>
    <w:basedOn w:val="Normal"/>
    <w:link w:val="HeaderChar"/>
    <w:uiPriority w:val="99"/>
    <w:unhideWhenUsed/>
    <w:rsid w:val="00CA0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FA7"/>
  </w:style>
  <w:style w:type="paragraph" w:styleId="Footer">
    <w:name w:val="footer"/>
    <w:basedOn w:val="Normal"/>
    <w:link w:val="FooterChar"/>
    <w:uiPriority w:val="99"/>
    <w:unhideWhenUsed/>
    <w:rsid w:val="00CA0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FA7"/>
  </w:style>
  <w:style w:type="character" w:styleId="Emphasis">
    <w:name w:val="Emphasis"/>
    <w:basedOn w:val="DefaultParagraphFont"/>
    <w:uiPriority w:val="20"/>
    <w:qFormat/>
    <w:rsid w:val="001F6D55"/>
    <w:rPr>
      <w:i/>
      <w:iCs/>
    </w:rPr>
  </w:style>
  <w:style w:type="character" w:customStyle="1" w:styleId="NoSpacingChar">
    <w:name w:val="No Spacing Char"/>
    <w:basedOn w:val="DefaultParagraphFont"/>
    <w:link w:val="NoSpacing"/>
    <w:uiPriority w:val="1"/>
    <w:rsid w:val="00E90757"/>
  </w:style>
  <w:style w:type="paragraph" w:customStyle="1" w:styleId="CM15">
    <w:name w:val="CM15"/>
    <w:basedOn w:val="Default"/>
    <w:next w:val="Default"/>
    <w:uiPriority w:val="99"/>
    <w:rsid w:val="00A2530C"/>
    <w:pPr>
      <w:spacing w:line="266" w:lineRule="atLeast"/>
    </w:pPr>
    <w:rPr>
      <w:rFonts w:cs="Sakkal Majalla"/>
      <w:color w:val="auto"/>
    </w:rPr>
  </w:style>
  <w:style w:type="paragraph" w:styleId="BalloonText">
    <w:name w:val="Balloon Text"/>
    <w:basedOn w:val="Normal"/>
    <w:link w:val="BalloonTextChar"/>
    <w:uiPriority w:val="99"/>
    <w:semiHidden/>
    <w:unhideWhenUsed/>
    <w:rsid w:val="00CA6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marshall.edu/spc/files/Citizens_United_-5_-Years_-Later.pdf" TargetMode="External"/><Relationship Id="rId2" Type="http://schemas.openxmlformats.org/officeDocument/2006/relationships/hyperlink" Target="http://www.newyorker.com/magazine/2012/05/21/money-unlimited" TargetMode="External"/><Relationship Id="rId1" Type="http://schemas.openxmlformats.org/officeDocument/2006/relationships/hyperlink" Target="http://www.newyorker.com/magazine/2012/05/21/money-unlimited" TargetMode="External"/><Relationship Id="rId6" Type="http://schemas.openxmlformats.org/officeDocument/2006/relationships/hyperlink" Target="http://www.nytimes.com/2010/01/22/us/politics/22scotus.html?pagewanted=all&amp;_r=1" TargetMode="External"/><Relationship Id="rId5" Type="http://schemas.openxmlformats.org/officeDocument/2006/relationships/hyperlink" Target="http://www.marshall.edu/spc/files/Citizens_United_-5_-Years_-Later.pdf" TargetMode="External"/><Relationship Id="rId4" Type="http://schemas.openxmlformats.org/officeDocument/2006/relationships/hyperlink" Target="http://www.marshall.edu/spc/files/Citizens_United_-5_-Years_-Later.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altName w:val="Century Schoolbook"/>
    <w:panose1 w:val="02040604050505020304"/>
    <w:charset w:val="00"/>
    <w:family w:val="roman"/>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Segoe UI">
    <w:panose1 w:val="020B0502040204020203"/>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C4"/>
    <w:rsid w:val="003C3972"/>
    <w:rsid w:val="003E76B6"/>
    <w:rsid w:val="006B6B06"/>
    <w:rsid w:val="007E0117"/>
    <w:rsid w:val="00AA3360"/>
    <w:rsid w:val="00D84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951EA989B44EF6AC16161B05CAFC27">
    <w:name w:val="3D951EA989B44EF6AC16161B05CAFC27"/>
    <w:rsid w:val="00D846C4"/>
  </w:style>
  <w:style w:type="paragraph" w:customStyle="1" w:styleId="393317B8BF4544D7BE9E1135267F6891">
    <w:name w:val="393317B8BF4544D7BE9E1135267F6891"/>
    <w:rsid w:val="00D846C4"/>
  </w:style>
  <w:style w:type="paragraph" w:customStyle="1" w:styleId="C81D3F7C74E74FA7BDE0750762B5329F">
    <w:name w:val="C81D3F7C74E74FA7BDE0750762B5329F"/>
    <w:rsid w:val="00D846C4"/>
  </w:style>
  <w:style w:type="paragraph" w:customStyle="1" w:styleId="C65748886FDE425AB113FEC832797259">
    <w:name w:val="C65748886FDE425AB113FEC832797259"/>
    <w:rsid w:val="00D846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951EA989B44EF6AC16161B05CAFC27">
    <w:name w:val="3D951EA989B44EF6AC16161B05CAFC27"/>
    <w:rsid w:val="00D846C4"/>
  </w:style>
  <w:style w:type="paragraph" w:customStyle="1" w:styleId="393317B8BF4544D7BE9E1135267F6891">
    <w:name w:val="393317B8BF4544D7BE9E1135267F6891"/>
    <w:rsid w:val="00D846C4"/>
  </w:style>
  <w:style w:type="paragraph" w:customStyle="1" w:styleId="C81D3F7C74E74FA7BDE0750762B5329F">
    <w:name w:val="C81D3F7C74E74FA7BDE0750762B5329F"/>
    <w:rsid w:val="00D846C4"/>
  </w:style>
  <w:style w:type="paragraph" w:customStyle="1" w:styleId="C65748886FDE425AB113FEC832797259">
    <w:name w:val="C65748886FDE425AB113FEC832797259"/>
    <w:rsid w:val="00D846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301719-963A-401A-B83B-AA460182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3826</Words>
  <Characters>21811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Citizens Unite: Combating Corporate Suppression of the Voice of the People</vt:lpstr>
    </vt:vector>
  </TitlesOfParts>
  <Company/>
  <LinksUpToDate>false</LinksUpToDate>
  <CharactersWithSpaces>25586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 Unite: Combating Corporate Suppression of the Voice of the People</dc:title>
  <dc:creator>Ghenatnevi, Sepideh Jahedi</dc:creator>
  <cp:lastModifiedBy>Proctor, Patricia</cp:lastModifiedBy>
  <cp:revision>2</cp:revision>
  <cp:lastPrinted>2015-07-31T20:45:00Z</cp:lastPrinted>
  <dcterms:created xsi:type="dcterms:W3CDTF">2016-05-18T19:54:00Z</dcterms:created>
  <dcterms:modified xsi:type="dcterms:W3CDTF">2016-05-18T19:54:00Z</dcterms:modified>
</cp:coreProperties>
</file>